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7D976" w14:textId="5DE42A69" w:rsidR="0076738A" w:rsidRPr="007F211F" w:rsidRDefault="0061799E" w:rsidP="007F211F">
      <w:pPr>
        <w:jc w:val="center"/>
        <w:rPr>
          <w:rFonts w:cs="Times New Roman"/>
          <w:b/>
          <w:bCs/>
          <w:szCs w:val="24"/>
        </w:rPr>
      </w:pPr>
      <w:r w:rsidRPr="006F07E5">
        <w:rPr>
          <w:rFonts w:cs="Times New Roman"/>
          <w:b/>
          <w:bCs/>
          <w:szCs w:val="24"/>
        </w:rPr>
        <w:t xml:space="preserve">Determining the functional role of small ribosomal protein bS21 in </w:t>
      </w:r>
      <w:r w:rsidR="00042B2E">
        <w:rPr>
          <w:rFonts w:cs="Times New Roman"/>
          <w:b/>
          <w:bCs/>
          <w:szCs w:val="24"/>
        </w:rPr>
        <w:t>regulating gene expression in two pathogenic bacteria</w:t>
      </w:r>
      <w:bookmarkStart w:id="0" w:name="_GoBack"/>
      <w:bookmarkEnd w:id="0"/>
    </w:p>
    <w:p w14:paraId="3277C407" w14:textId="2472A5AA" w:rsidR="00FC631C" w:rsidRDefault="0024618C" w:rsidP="0024618C">
      <w:pPr>
        <w:pStyle w:val="Heading1"/>
      </w:pPr>
      <w:r>
        <w:t>2. Justification of the study</w:t>
      </w:r>
    </w:p>
    <w:p w14:paraId="16E0FC3C" w14:textId="565E42D1" w:rsidR="00FC631C" w:rsidRDefault="0024618C" w:rsidP="0024618C">
      <w:pPr>
        <w:pStyle w:val="Heading2"/>
      </w:pPr>
      <w:r>
        <w:t>2.1</w:t>
      </w:r>
      <w:r w:rsidR="00CA2CFE">
        <w:t>.</w:t>
      </w:r>
      <w:r>
        <w:t xml:space="preserve"> Transcription and translation can be uncoupled in bacteria</w:t>
      </w:r>
    </w:p>
    <w:p w14:paraId="35434649" w14:textId="2529A5BB" w:rsidR="00EC60CE" w:rsidRPr="0048282A" w:rsidRDefault="0048282A" w:rsidP="00EE21A0">
      <w:pPr>
        <w:ind w:firstLine="720"/>
      </w:pPr>
      <w:r>
        <w:t xml:space="preserve">In bacteria, transcription and translation are often coupled physically and temporally (mcgary nudler). Frequently, ribosomes will load onto nascent mRNA as it is still being transcribed by RNA polymerase (RNAP), leading to transcription and translation occurring in tandem. Further, proteins such as NusE and NusG physically couple RNAP to the ribosome (Burmann schweimer). This understanding has led much of the research on </w:t>
      </w:r>
      <w:r w:rsidR="000221E9">
        <w:t>gene regulation to focus exclusively on transcription, a</w:t>
      </w:r>
      <w:r w:rsidR="00F85D36">
        <w:t>nd</w:t>
      </w:r>
      <w:r w:rsidR="000221E9">
        <w:t xml:space="preserve"> translation has been assumed to occur constitutively if transcription </w:t>
      </w:r>
      <w:r w:rsidR="00F85D36">
        <w:t>begins</w:t>
      </w:r>
      <w:r w:rsidR="000221E9">
        <w:t>.</w:t>
      </w:r>
      <w:r w:rsidR="00C01E87">
        <w:t xml:space="preserve"> There is growing evidence, however, that these two processes can become uncoupled (lu 2007). Specifically, using a novel protein abundance index, </w:t>
      </w:r>
      <w:r w:rsidR="00A45F46">
        <w:t xml:space="preserve">researchers found </w:t>
      </w:r>
      <w:r w:rsidR="00C01E87">
        <w:t xml:space="preserve">that only about half of </w:t>
      </w:r>
      <w:r w:rsidR="00C01E87" w:rsidRPr="00F8416E">
        <w:rPr>
          <w:i/>
          <w:iCs/>
        </w:rPr>
        <w:t>E</w:t>
      </w:r>
      <w:r w:rsidR="00A45F46" w:rsidRPr="00A45F46">
        <w:rPr>
          <w:i/>
          <w:iCs/>
        </w:rPr>
        <w:t>scherichia</w:t>
      </w:r>
      <w:r w:rsidR="00F8416E" w:rsidRPr="00F8416E">
        <w:rPr>
          <w:i/>
          <w:iCs/>
        </w:rPr>
        <w:t xml:space="preserve"> </w:t>
      </w:r>
      <w:r w:rsidR="00C01E87" w:rsidRPr="00F8416E">
        <w:rPr>
          <w:i/>
          <w:iCs/>
        </w:rPr>
        <w:t>coli</w:t>
      </w:r>
      <w:r w:rsidR="00C01E87">
        <w:t xml:space="preserve"> protein levels are regulated at the level of transcription. Some alterations in protein abundance come from differences in degradation rates via post-translational modifications</w:t>
      </w:r>
      <w:r w:rsidR="00642781">
        <w:t xml:space="preserve"> or variability in the stability of mRNA transcripts</w:t>
      </w:r>
      <w:r w:rsidR="00C01E87">
        <w:t xml:space="preserve">, but there is also a strong </w:t>
      </w:r>
      <w:r w:rsidR="00642781">
        <w:t>likelihood</w:t>
      </w:r>
      <w:r w:rsidR="00C01E87">
        <w:t xml:space="preserve"> that some of the discrepancies</w:t>
      </w:r>
      <w:r w:rsidR="00642781">
        <w:t xml:space="preserve"> in protein abunda</w:t>
      </w:r>
      <w:r w:rsidR="006E5F97">
        <w:t>n</w:t>
      </w:r>
      <w:r w:rsidR="00642781">
        <w:t>ce</w:t>
      </w:r>
      <w:r w:rsidR="00C01E87">
        <w:t xml:space="preserve"> may be stemming from differen</w:t>
      </w:r>
      <w:r w:rsidR="006E5F97">
        <w:t>ces in</w:t>
      </w:r>
      <w:r w:rsidR="00C01E87">
        <w:t xml:space="preserve"> translation.</w:t>
      </w:r>
      <w:r w:rsidR="00642781">
        <w:t xml:space="preserve"> </w:t>
      </w:r>
      <w:r w:rsidR="00EC60CE" w:rsidRPr="00EC60CE">
        <w:rPr>
          <w:highlight w:val="yellow"/>
        </w:rPr>
        <w:t>Should I include more info here about other methods of gene regulation, such as small RNAs? Or keep it short?</w:t>
      </w:r>
    </w:p>
    <w:p w14:paraId="104342C4" w14:textId="79362038" w:rsidR="00DA11AF" w:rsidRDefault="0024618C" w:rsidP="0024618C">
      <w:pPr>
        <w:pStyle w:val="Heading2"/>
      </w:pPr>
      <w:r>
        <w:t>2.2</w:t>
      </w:r>
      <w:r w:rsidR="00CA2CFE">
        <w:t>.</w:t>
      </w:r>
      <w:r>
        <w:t xml:space="preserve"> Heterogeneous ribosomes </w:t>
      </w:r>
      <w:r w:rsidR="00DA11AF">
        <w:t>may have specialized functions</w:t>
      </w:r>
    </w:p>
    <w:p w14:paraId="556EBC60" w14:textId="5F635E4C" w:rsidR="00D24829" w:rsidRDefault="00D24829" w:rsidP="00D24829">
      <w:r>
        <w:tab/>
        <w:t>The ribosome is highly conserved in all domains of life, consisting of two subunits</w:t>
      </w:r>
      <w:r w:rsidR="00EE21A0">
        <w:t xml:space="preserve"> made up of both </w:t>
      </w:r>
      <w:r>
        <w:t>rRNA and ribosomal proteins</w:t>
      </w:r>
      <w:r w:rsidR="00D24FAC">
        <w:t xml:space="preserve"> (r-proteins)</w:t>
      </w:r>
      <w:r>
        <w:t xml:space="preserve">. </w:t>
      </w:r>
      <w:r w:rsidR="009E538D">
        <w:t xml:space="preserve">However, heterogeneity in composition </w:t>
      </w:r>
      <w:r w:rsidR="00FD636E">
        <w:t xml:space="preserve">of ribosomes </w:t>
      </w:r>
      <w:r w:rsidR="009E538D">
        <w:t>does exist, stemming fr</w:t>
      </w:r>
      <w:r w:rsidR="00D24FAC">
        <w:t>o</w:t>
      </w:r>
      <w:r w:rsidR="009E538D">
        <w:t xml:space="preserve">m a variety of sources. There </w:t>
      </w:r>
      <w:r w:rsidR="0064247E">
        <w:t>exists</w:t>
      </w:r>
      <w:r w:rsidR="009E538D">
        <w:t xml:space="preserve"> diversity in sequences of rRNA and r-proteins</w:t>
      </w:r>
      <w:r w:rsidR="0064247E">
        <w:t xml:space="preserve">, including multiple </w:t>
      </w:r>
      <w:r w:rsidR="004E000C">
        <w:t>homologous genes</w:t>
      </w:r>
      <w:r w:rsidR="0064247E">
        <w:t xml:space="preserve"> within the same organisms</w:t>
      </w:r>
      <w:r w:rsidR="004E000C">
        <w:t>;</w:t>
      </w:r>
      <w:r w:rsidR="009E538D">
        <w:t xml:space="preserve"> post-</w:t>
      </w:r>
      <w:r w:rsidR="009E538D">
        <w:lastRenderedPageBreak/>
        <w:t>transcriptional modifications of rRNA, such as methylation and acetylation</w:t>
      </w:r>
      <w:r w:rsidR="004E000C">
        <w:t>;</w:t>
      </w:r>
      <w:r w:rsidR="009E538D">
        <w:t xml:space="preserve"> as well as post-translational modifications of r-proteins</w:t>
      </w:r>
      <w:r w:rsidR="0064247E">
        <w:t xml:space="preserve"> (Byrgazov; sauret). </w:t>
      </w:r>
      <w:r w:rsidR="00DA1F6B">
        <w:t>It is likely that these h</w:t>
      </w:r>
      <w:r w:rsidR="00B17380">
        <w:t>eterogeneous ribosomes have function</w:t>
      </w:r>
      <w:r w:rsidR="00DA1F6B">
        <w:t>al differences as well</w:t>
      </w:r>
      <w:r w:rsidR="00E84E53">
        <w:t xml:space="preserve"> and many researchers have investigated the possibility of these “specialized ribosomes”.</w:t>
      </w:r>
    </w:p>
    <w:p w14:paraId="0CD86326" w14:textId="01D0226D" w:rsidR="00E84E53" w:rsidRDefault="00E84E53" w:rsidP="00D24829">
      <w:r>
        <w:tab/>
        <w:t xml:space="preserve">In eukaryotes, there have been a </w:t>
      </w:r>
      <w:r w:rsidR="00BA5E92">
        <w:t xml:space="preserve">large number of studies into specialized ribosomes (xue and barna). </w:t>
      </w:r>
      <w:r w:rsidR="00BD56D0">
        <w:t>For example, there are two unique</w:t>
      </w:r>
      <w:r w:rsidR="00FF4FDC">
        <w:t xml:space="preserve"> 18S</w:t>
      </w:r>
      <w:r w:rsidR="00BD56D0">
        <w:t xml:space="preserve"> rRNA genes in </w:t>
      </w:r>
      <w:r w:rsidR="00BD56D0">
        <w:rPr>
          <w:i/>
          <w:iCs/>
        </w:rPr>
        <w:t xml:space="preserve">Plasmodium </w:t>
      </w:r>
      <w:r w:rsidR="00A305A4">
        <w:rPr>
          <w:i/>
          <w:iCs/>
        </w:rPr>
        <w:t>berghi</w:t>
      </w:r>
      <w:r w:rsidR="00BD56D0">
        <w:rPr>
          <w:i/>
          <w:iCs/>
        </w:rPr>
        <w:t xml:space="preserve"> </w:t>
      </w:r>
      <w:r w:rsidR="00BD56D0">
        <w:t>that are expressed differentially in the two life-cycles of the parasite (Gunderson). When in mosquit</w:t>
      </w:r>
      <w:r w:rsidR="00082CDE">
        <w:t>o</w:t>
      </w:r>
      <w:r w:rsidR="00BD56D0">
        <w:t>es, one rRNA is expressed</w:t>
      </w:r>
      <w:r w:rsidR="00082CDE">
        <w:t xml:space="preserve"> (S-type)</w:t>
      </w:r>
      <w:r w:rsidR="00BD56D0">
        <w:t>, and while in mammals, the other is expressed</w:t>
      </w:r>
      <w:r w:rsidR="00082CDE">
        <w:t xml:space="preserve"> (A-type)</w:t>
      </w:r>
      <w:r w:rsidR="00BD56D0">
        <w:t xml:space="preserve">. Chimeric rRNAs in </w:t>
      </w:r>
      <w:r w:rsidR="00590F88">
        <w:t xml:space="preserve">mutant </w:t>
      </w:r>
      <w:r w:rsidR="00BD56D0">
        <w:t>yeast can only restore function using one of these two genes, indicating that the two rRNAs have different functions (Velichutina).</w:t>
      </w:r>
      <w:r w:rsidR="00602260">
        <w:t xml:space="preserve"> Thus, </w:t>
      </w:r>
      <w:r w:rsidR="00FC4041">
        <w:t xml:space="preserve">not only is there evidence that non-homogenous ribosomes exist in </w:t>
      </w:r>
      <w:r w:rsidR="00602260">
        <w:rPr>
          <w:i/>
          <w:iCs/>
        </w:rPr>
        <w:t>Plasmodium</w:t>
      </w:r>
      <w:r w:rsidR="00602260">
        <w:t xml:space="preserve">, but </w:t>
      </w:r>
      <w:r w:rsidR="00583148">
        <w:t xml:space="preserve">these ribosomes will also function differently </w:t>
      </w:r>
      <w:r w:rsidR="00602260">
        <w:t xml:space="preserve">to alter gene expression based on </w:t>
      </w:r>
      <w:r w:rsidR="00FC4041">
        <w:t>the life-cycle requirements of the parasite.</w:t>
      </w:r>
    </w:p>
    <w:p w14:paraId="78D3A10D" w14:textId="183A7202" w:rsidR="00851400" w:rsidRDefault="00851400" w:rsidP="00560ABC">
      <w:r>
        <w:tab/>
        <w:t xml:space="preserve">In bacteria, </w:t>
      </w:r>
      <w:r w:rsidR="005E413A">
        <w:t>there has been research into non-homogenous ribosome</w:t>
      </w:r>
      <w:r w:rsidR="00B619C6">
        <w:t xml:space="preserve"> populations,</w:t>
      </w:r>
      <w:r w:rsidR="005E413A">
        <w:t xml:space="preserve"> but our understanding of the mechanisms of action for these remain limited. </w:t>
      </w:r>
      <w:r w:rsidR="00D22306">
        <w:t>For example, i</w:t>
      </w:r>
      <w:r w:rsidR="00D22306" w:rsidRPr="00D22306">
        <w:t xml:space="preserve">n </w:t>
      </w:r>
      <w:r w:rsidR="00D22306" w:rsidRPr="00D22306">
        <w:rPr>
          <w:i/>
          <w:iCs/>
        </w:rPr>
        <w:t>Mycobacterium tuberculosis</w:t>
      </w:r>
      <w:r w:rsidR="00D22306" w:rsidRPr="00D22306">
        <w:t xml:space="preserve">, there are two genes that encode the small ribosomal protein </w:t>
      </w:r>
      <w:r w:rsidR="00D22306">
        <w:t>b</w:t>
      </w:r>
      <w:r w:rsidR="00D22306" w:rsidRPr="00D22306">
        <w:t>S18</w:t>
      </w:r>
      <w:r w:rsidR="00D22306">
        <w:t>, with only one of these proteins able to coordinate with zinc (prisic et al.). I</w:t>
      </w:r>
      <w:r w:rsidR="00D22306" w:rsidRPr="00D22306">
        <w:t>n high zinc conditions, such as when bacteria are living inside a macrophage,</w:t>
      </w:r>
      <w:r w:rsidR="00D22306">
        <w:t xml:space="preserve"> expression of the secondary bS18 is </w:t>
      </w:r>
      <w:r w:rsidR="00D22306" w:rsidRPr="00D22306">
        <w:t>repress</w:t>
      </w:r>
      <w:r w:rsidR="00D22306">
        <w:t>ed,</w:t>
      </w:r>
      <w:r w:rsidR="00D22306" w:rsidRPr="00D22306">
        <w:t xml:space="preserve"> leading to a population of ribosomes with mostly the primary </w:t>
      </w:r>
      <w:r w:rsidR="00D22306">
        <w:t>b</w:t>
      </w:r>
      <w:r w:rsidR="00D22306" w:rsidRPr="00D22306">
        <w:t xml:space="preserve">S18 present. In extracellular conditions with low zinc presence, </w:t>
      </w:r>
      <w:r w:rsidR="00D22306">
        <w:t xml:space="preserve">repression of the secondary bS18 protein does not seem to occur, leading to </w:t>
      </w:r>
      <w:r w:rsidR="00D22306" w:rsidRPr="00D22306">
        <w:t xml:space="preserve">a more heterogeneous ribosome population. </w:t>
      </w:r>
      <w:r w:rsidR="00D22306">
        <w:t xml:space="preserve">While </w:t>
      </w:r>
      <w:r w:rsidR="005910F0">
        <w:t xml:space="preserve">evidence of this homolog switching is </w:t>
      </w:r>
      <w:r w:rsidR="00D22306">
        <w:t xml:space="preserve">interesting, the functional consequences of this on </w:t>
      </w:r>
      <w:r w:rsidR="00D86D46">
        <w:t>the bacteria’s gene expression a</w:t>
      </w:r>
      <w:r w:rsidR="00D77517">
        <w:t xml:space="preserve">nd </w:t>
      </w:r>
      <w:r w:rsidR="002A7242">
        <w:t>downstream effects on other</w:t>
      </w:r>
      <w:r w:rsidR="00D77517">
        <w:t xml:space="preserve"> pathways a</w:t>
      </w:r>
      <w:r w:rsidR="00D86D46">
        <w:t>re still not known.</w:t>
      </w:r>
      <w:r w:rsidR="00D22306" w:rsidRPr="00D22306">
        <w:t xml:space="preserve"> This is one of the few </w:t>
      </w:r>
      <w:r w:rsidR="00D22306" w:rsidRPr="00D22306">
        <w:lastRenderedPageBreak/>
        <w:t>well-studied examples in bacteria, so this concept of specialized ribosomes is incompletely understood.</w:t>
      </w:r>
    </w:p>
    <w:p w14:paraId="4DC4F35E" w14:textId="6CB7DCD0" w:rsidR="004C23DA" w:rsidRPr="00AF1594" w:rsidRDefault="004C23DA" w:rsidP="00560ABC">
      <w:r>
        <w:tab/>
      </w:r>
      <w:r w:rsidR="006765CD">
        <w:t>Some</w:t>
      </w:r>
      <w:r>
        <w:t xml:space="preserve"> of the early research into specialized ribosomes in prokaryotes has led to disagreements in the field. </w:t>
      </w:r>
      <w:r w:rsidR="00AF1594">
        <w:t xml:space="preserve">It has been suggested that toxin-induced mutants of </w:t>
      </w:r>
      <w:r w:rsidR="00AF1594">
        <w:rPr>
          <w:i/>
          <w:iCs/>
        </w:rPr>
        <w:t>E. coli</w:t>
      </w:r>
      <w:r w:rsidR="00AF1594">
        <w:t xml:space="preserve"> contain subsets of ribosomes that lack anti-Shine</w:t>
      </w:r>
      <w:r w:rsidR="005B3AD2">
        <w:t>-</w:t>
      </w:r>
      <w:r w:rsidR="00AF1594">
        <w:t>D</w:t>
      </w:r>
      <w:r w:rsidR="00F90EBF">
        <w:t>a</w:t>
      </w:r>
      <w:r w:rsidR="00AF1594">
        <w:t>lgarno sequences in the 16S rRNA (Vesper et al. 2011). The</w:t>
      </w:r>
      <w:r w:rsidR="002D0294">
        <w:t xml:space="preserve"> researchers concluded that these</w:t>
      </w:r>
      <w:r w:rsidR="00AF1594">
        <w:t xml:space="preserve"> ribosomes are </w:t>
      </w:r>
      <w:r w:rsidR="002D0294">
        <w:t>consequently</w:t>
      </w:r>
      <w:r w:rsidR="00AF1594">
        <w:t xml:space="preserve"> able to </w:t>
      </w:r>
      <w:r w:rsidR="007A5B69">
        <w:t>recognize</w:t>
      </w:r>
      <w:r w:rsidR="00AF1594">
        <w:t xml:space="preserve"> leaderless mRNA, indicating that heterogeneous ribosomes differentially translate subsets of mRNA. This study became a much-cited example of specialized ribosomes</w:t>
      </w:r>
      <w:r w:rsidR="00D9275B">
        <w:t xml:space="preserve"> in bacteria</w:t>
      </w:r>
      <w:r w:rsidR="00AF1594">
        <w:t>. However, a follow-up study found that the 16S rRNA that were lacking the anti-Shine</w:t>
      </w:r>
      <w:r w:rsidR="005B3AD2">
        <w:t>-</w:t>
      </w:r>
      <w:r w:rsidR="00F90EBF">
        <w:t>Dalgarno</w:t>
      </w:r>
      <w:r w:rsidR="00AF1594">
        <w:t xml:space="preserve"> sequences usually did not incorporate into mature ribosomes (Culviner and Laub). Thus, </w:t>
      </w:r>
      <w:r w:rsidR="00CA3D32">
        <w:t>the suggested</w:t>
      </w:r>
      <w:r w:rsidR="00AF1594">
        <w:t xml:space="preserve"> </w:t>
      </w:r>
      <w:r w:rsidR="00CA3D32">
        <w:t>“</w:t>
      </w:r>
      <w:r w:rsidR="00AF1594">
        <w:t>specialized</w:t>
      </w:r>
      <w:r w:rsidR="00CA3D32">
        <w:t>”</w:t>
      </w:r>
      <w:r w:rsidR="00AF1594">
        <w:t xml:space="preserve"> ribosomes </w:t>
      </w:r>
      <w:r w:rsidR="00CA3D32">
        <w:t>existed in very low numbers</w:t>
      </w:r>
      <w:r w:rsidR="00AF1594">
        <w:t xml:space="preserve"> and likely were not playing a significant role in translation or gene regulation.  </w:t>
      </w:r>
      <w:r w:rsidR="00623618">
        <w:t>Certainly, more research must be done to clarify these conflicting results. It is preferable that we have a system in which heterogeneity in ribosomes is inherent and is not dependent on toxin-antitoxin systems, which is the case in the systems suggested for this study.</w:t>
      </w:r>
    </w:p>
    <w:p w14:paraId="716CCD9F" w14:textId="2C7EEB72" w:rsidR="00DE76BD" w:rsidRDefault="00DE76BD" w:rsidP="00DE0738">
      <w:pPr>
        <w:pStyle w:val="Heading2"/>
      </w:pPr>
      <w:r w:rsidRPr="00DE0738">
        <w:t>2.3</w:t>
      </w:r>
      <w:r w:rsidR="00CA2CFE">
        <w:t>.</w:t>
      </w:r>
      <w:r w:rsidRPr="00DE0738">
        <w:t xml:space="preserve"> </w:t>
      </w:r>
      <w:r w:rsidR="0056002C" w:rsidRPr="00DE0738">
        <w:t>bS21 is located in an ideal position to interact with mRNA</w:t>
      </w:r>
    </w:p>
    <w:p w14:paraId="2BB4AB0A" w14:textId="5A35C5FF" w:rsidR="007A4580" w:rsidRDefault="00F0272B" w:rsidP="00F0272B">
      <w:r>
        <w:tab/>
        <w:t>The small ribosomal protein bS21</w:t>
      </w:r>
      <w:r w:rsidR="00DA439E">
        <w:t>, a component of the 30S subunit,</w:t>
      </w:r>
      <w:r>
        <w:t xml:space="preserve"> is of particular interest in this study. Previous research has</w:t>
      </w:r>
      <w:r w:rsidR="00EB6409">
        <w:t xml:space="preserve"> shown that this protein is essential for initiation of translation, as mutants in </w:t>
      </w:r>
      <w:r w:rsidR="00EB6409">
        <w:rPr>
          <w:i/>
          <w:iCs/>
        </w:rPr>
        <w:t>E. coli</w:t>
      </w:r>
      <w:r w:rsidR="00EB6409">
        <w:t xml:space="preserve"> are fully functional in fMet-tRNA binding but cannot bind MS2 RNA (Van duin 81).</w:t>
      </w:r>
      <w:r w:rsidR="000E78EF">
        <w:t xml:space="preserve"> </w:t>
      </w:r>
      <w:r w:rsidR="00901259">
        <w:t xml:space="preserve">Thus, it is believed that bS21 is necessary to help mediate the specific interaction between 16S rRNA and mRNA molecules (Van duin). </w:t>
      </w:r>
      <w:r w:rsidR="000E78EF">
        <w:t>Mutants of this protein in other species ha</w:t>
      </w:r>
      <w:r w:rsidR="00C62A24">
        <w:t>ve</w:t>
      </w:r>
      <w:r w:rsidR="000E78EF">
        <w:t xml:space="preserve"> a range of effects, giving an indication of the </w:t>
      </w:r>
      <w:r w:rsidR="00C62A24">
        <w:t xml:space="preserve">significant </w:t>
      </w:r>
      <w:r w:rsidR="000E78EF">
        <w:t xml:space="preserve">role of this protein. In </w:t>
      </w:r>
      <w:r w:rsidR="000E78EF">
        <w:rPr>
          <w:i/>
          <w:iCs/>
        </w:rPr>
        <w:t>Bacillus subtilis</w:t>
      </w:r>
      <w:r w:rsidR="000E78EF">
        <w:t xml:space="preserve">, bS21 mutants have defects in motility and biofilm formation (takada et al.). </w:t>
      </w:r>
      <w:r w:rsidR="000E78EF">
        <w:lastRenderedPageBreak/>
        <w:t>I</w:t>
      </w:r>
      <w:r w:rsidR="000E78EF" w:rsidRPr="000E78EF">
        <w:t xml:space="preserve">n </w:t>
      </w:r>
      <w:r w:rsidR="000E78EF">
        <w:rPr>
          <w:i/>
          <w:iCs/>
        </w:rPr>
        <w:t>L</w:t>
      </w:r>
      <w:r w:rsidR="000E78EF" w:rsidRPr="000E78EF">
        <w:rPr>
          <w:i/>
          <w:iCs/>
        </w:rPr>
        <w:t>isteria monocytogenes</w:t>
      </w:r>
      <w:r w:rsidR="000E78EF" w:rsidRPr="000E78EF">
        <w:t>, null mutants have increased acid stress resistance and changes in transcription of stress resistance genes</w:t>
      </w:r>
      <w:r w:rsidR="000A3BD0">
        <w:t xml:space="preserve"> (metselaar et al).</w:t>
      </w:r>
      <w:r w:rsidR="00C62A24">
        <w:t xml:space="preserve"> </w:t>
      </w:r>
      <w:r w:rsidR="00287CA8">
        <w:t>Additionally,</w:t>
      </w:r>
      <w:r w:rsidR="00C62A24">
        <w:t xml:space="preserve"> many species of bacteria</w:t>
      </w:r>
      <w:r w:rsidR="00287CA8">
        <w:t xml:space="preserve"> completely</w:t>
      </w:r>
      <w:r w:rsidR="00C62A24">
        <w:t xml:space="preserve"> lack the gene for </w:t>
      </w:r>
      <w:r w:rsidR="00287CA8">
        <w:t xml:space="preserve">the </w:t>
      </w:r>
      <w:r w:rsidR="00C62A24">
        <w:t xml:space="preserve">bS21 protein, </w:t>
      </w:r>
      <w:r w:rsidR="00C62A24">
        <w:rPr>
          <w:i/>
          <w:iCs/>
        </w:rPr>
        <w:t>rpsU</w:t>
      </w:r>
      <w:r w:rsidR="00C62A24">
        <w:t xml:space="preserve">, </w:t>
      </w:r>
      <w:r w:rsidR="00287CA8">
        <w:t xml:space="preserve">while a number of other species have multiple homologs of </w:t>
      </w:r>
      <w:r w:rsidR="00287CA8">
        <w:rPr>
          <w:i/>
          <w:iCs/>
        </w:rPr>
        <w:t>rpsU</w:t>
      </w:r>
      <w:r w:rsidR="00C62A24">
        <w:t xml:space="preserve"> (citation needed).</w:t>
      </w:r>
      <w:r w:rsidR="00901259">
        <w:t xml:space="preserve"> </w:t>
      </w:r>
    </w:p>
    <w:p w14:paraId="7E819651" w14:textId="725F0E9E" w:rsidR="00901259" w:rsidRPr="00CC0E76" w:rsidRDefault="001D4A83" w:rsidP="007A4580">
      <w:pPr>
        <w:ind w:firstLine="720"/>
      </w:pPr>
      <w:r>
        <w:t xml:space="preserve">Besides the fascinating defects of bS21 mutants, this protein also interests us because of its location in the ribosome. In </w:t>
      </w:r>
      <w:r>
        <w:rPr>
          <w:i/>
          <w:iCs/>
        </w:rPr>
        <w:t>E. coli</w:t>
      </w:r>
      <w:r>
        <w:t xml:space="preserve">, bS21 is found close to the exit channel of RNA on the small subunit (Berk et al). </w:t>
      </w:r>
      <w:r w:rsidRPr="001D4A83">
        <w:rPr>
          <w:highlight w:val="yellow"/>
        </w:rPr>
        <w:t>Should I include a figure of the pymol structure here? I think I can mess around to create my own picture if</w:t>
      </w:r>
      <w:r>
        <w:rPr>
          <w:highlight w:val="yellow"/>
        </w:rPr>
        <w:t xml:space="preserve"> you think</w:t>
      </w:r>
      <w:r w:rsidRPr="001D4A83">
        <w:rPr>
          <w:highlight w:val="yellow"/>
        </w:rPr>
        <w:t xml:space="preserve"> that’s best.</w:t>
      </w:r>
      <w:r>
        <w:t xml:space="preserve"> This is an ideal location for the protein to be interacting with the 5’ region of mRNA,</w:t>
      </w:r>
      <w:r w:rsidR="00D91DE2">
        <w:t xml:space="preserve"> which we hypothesize is a possible mechanism by which bS21 may be regulating translation initiation.</w:t>
      </w:r>
      <w:r w:rsidR="00287CA8">
        <w:t xml:space="preserve"> </w:t>
      </w:r>
      <w:r w:rsidR="00901259">
        <w:t xml:space="preserve">As one of the smallest and </w:t>
      </w:r>
      <w:r w:rsidR="00CC0E76">
        <w:t xml:space="preserve">last-assembled ribosomal proteins of the 30S subunit (Mizushima), it is believed that bS21 is easily exchanged in </w:t>
      </w:r>
      <w:r w:rsidR="00CC0E76">
        <w:rPr>
          <w:i/>
          <w:iCs/>
        </w:rPr>
        <w:t>E. coli</w:t>
      </w:r>
      <w:r w:rsidR="00CC0E76">
        <w:t xml:space="preserve">. In fact, a bS21 homolog has been found on a </w:t>
      </w:r>
      <w:r w:rsidR="00A56ED6">
        <w:t xml:space="preserve">bacteriophage genome and was able to be incorporated into </w:t>
      </w:r>
      <w:r w:rsidR="00A56ED6">
        <w:rPr>
          <w:i/>
          <w:iCs/>
        </w:rPr>
        <w:t>E. coli</w:t>
      </w:r>
      <w:r w:rsidR="00A56ED6">
        <w:t xml:space="preserve"> ribosomes when expressed on a vector (Mizuno et al). This provides evidence that bS21 may be involved in homolog switching, </w:t>
      </w:r>
      <w:r w:rsidR="004126CC">
        <w:t>may be passed through horizontal gene transfer, and may be ultimately contributing to the presence of</w:t>
      </w:r>
      <w:r w:rsidR="00A56ED6">
        <w:t xml:space="preserve"> heterogeneous ribosomes</w:t>
      </w:r>
      <w:r w:rsidR="004126CC">
        <w:t xml:space="preserve"> in a number of bacterial species.</w:t>
      </w:r>
    </w:p>
    <w:p w14:paraId="5981502D" w14:textId="1C1B4BDC" w:rsidR="002C25EF" w:rsidRDefault="00DA11AF" w:rsidP="00287CA8">
      <w:pPr>
        <w:pStyle w:val="Heading3"/>
      </w:pPr>
      <w:r>
        <w:t>2.</w:t>
      </w:r>
      <w:r w:rsidR="0056002C">
        <w:t>3.1</w:t>
      </w:r>
      <w:r w:rsidR="00CA2CFE">
        <w:t>.</w:t>
      </w:r>
      <w:r w:rsidR="002C25EF">
        <w:t xml:space="preserve"> </w:t>
      </w:r>
      <w:r w:rsidR="0056002C" w:rsidRPr="00287CA8">
        <w:rPr>
          <w:iCs/>
        </w:rPr>
        <w:t xml:space="preserve">Francisella </w:t>
      </w:r>
      <w:r w:rsidR="00287CA8" w:rsidRPr="00287CA8">
        <w:rPr>
          <w:iCs/>
        </w:rPr>
        <w:t>tularensis</w:t>
      </w:r>
      <w:r w:rsidR="00287CA8">
        <w:t xml:space="preserve"> has </w:t>
      </w:r>
      <w:r w:rsidR="00755AB6">
        <w:t>three</w:t>
      </w:r>
      <w:r w:rsidR="00287CA8">
        <w:t xml:space="preserve"> </w:t>
      </w:r>
      <w:r w:rsidR="00287CA8" w:rsidRPr="00287CA8">
        <w:rPr>
          <w:iCs/>
        </w:rPr>
        <w:t>rpsU</w:t>
      </w:r>
      <w:r w:rsidR="00287CA8">
        <w:t xml:space="preserve"> genes</w:t>
      </w:r>
    </w:p>
    <w:p w14:paraId="6AF1EF96" w14:textId="0B3979AD" w:rsidR="00755AB6" w:rsidRDefault="0056002C" w:rsidP="00287CA8">
      <w:r>
        <w:tab/>
      </w:r>
      <w:r w:rsidR="00287CA8">
        <w:t xml:space="preserve">One </w:t>
      </w:r>
      <w:r w:rsidR="00B46FEE">
        <w:t xml:space="preserve">system that proves ideal to study bS21 is the pathogenic bacteria </w:t>
      </w:r>
      <w:r w:rsidR="00B46FEE">
        <w:rPr>
          <w:i/>
          <w:iCs/>
        </w:rPr>
        <w:t xml:space="preserve">Francisella tularensis </w:t>
      </w:r>
      <w:r w:rsidR="00B46FEE" w:rsidRPr="00B46FEE">
        <w:t>subsp.</w:t>
      </w:r>
      <w:r w:rsidR="00B46FEE">
        <w:rPr>
          <w:i/>
          <w:iCs/>
        </w:rPr>
        <w:t xml:space="preserve"> holarctica </w:t>
      </w:r>
      <w:r w:rsidR="00B46FEE" w:rsidRPr="00B46FEE">
        <w:t>Live Vaccine Strain</w:t>
      </w:r>
      <w:r w:rsidR="00B46FEE">
        <w:t xml:space="preserve"> (LVS)</w:t>
      </w:r>
      <w:r w:rsidR="00FD1767">
        <w:t xml:space="preserve">. </w:t>
      </w:r>
      <w:r w:rsidR="00FD1767">
        <w:rPr>
          <w:i/>
          <w:iCs/>
        </w:rPr>
        <w:t xml:space="preserve">F. tularensis </w:t>
      </w:r>
      <w:r w:rsidR="00FD1767">
        <w:t xml:space="preserve">is a Gram-negative, facultative intracellular bacteria that causes the disease tularemia (Sjostedt). </w:t>
      </w:r>
      <w:r w:rsidR="00FD1767">
        <w:rPr>
          <w:i/>
          <w:iCs/>
        </w:rPr>
        <w:t>F. tularensis</w:t>
      </w:r>
      <w:r w:rsidR="00FD1767">
        <w:t xml:space="preserve"> is remarkable in its ability to live in a diverse range of hosts, vectors, and environments. It can be found in ticks, horse flies, mosquitos, hares, and rodents, and can also be water-borne (Sjostedt). </w:t>
      </w:r>
      <w:r w:rsidR="00E416EF">
        <w:lastRenderedPageBreak/>
        <w:t xml:space="preserve">Because of this diversity, </w:t>
      </w:r>
      <w:r w:rsidR="00E416EF">
        <w:rPr>
          <w:i/>
          <w:iCs/>
        </w:rPr>
        <w:t>F. tularensis</w:t>
      </w:r>
      <w:r w:rsidR="00E416EF">
        <w:t xml:space="preserve"> </w:t>
      </w:r>
      <w:r w:rsidR="005D080F">
        <w:t>must regulate gene expression successfully</w:t>
      </w:r>
      <w:r w:rsidR="00E416EF">
        <w:t xml:space="preserve"> to adapt to its many environments.</w:t>
      </w:r>
      <w:r w:rsidR="00755AB6">
        <w:t xml:space="preserve"> </w:t>
      </w:r>
    </w:p>
    <w:p w14:paraId="27BD2098" w14:textId="49E1461D" w:rsidR="0056002C" w:rsidRPr="002E62BD" w:rsidRDefault="00755AB6" w:rsidP="00755AB6">
      <w:pPr>
        <w:ind w:firstLine="720"/>
      </w:pPr>
      <w:r>
        <w:rPr>
          <w:i/>
          <w:iCs/>
        </w:rPr>
        <w:t xml:space="preserve">F. tularensis </w:t>
      </w:r>
      <w:r>
        <w:t xml:space="preserve">LVS has a significantly reduced genome, yet interestingly retains three different copies of </w:t>
      </w:r>
      <w:r>
        <w:rPr>
          <w:i/>
          <w:iCs/>
        </w:rPr>
        <w:t xml:space="preserve">rpsU: </w:t>
      </w:r>
      <w:r w:rsidRPr="002505C7">
        <w:rPr>
          <w:i/>
          <w:iCs/>
        </w:rPr>
        <w:t>rpsU1</w:t>
      </w:r>
      <w:r>
        <w:t xml:space="preserve">, </w:t>
      </w:r>
      <w:r w:rsidRPr="002505C7">
        <w:rPr>
          <w:i/>
          <w:iCs/>
        </w:rPr>
        <w:t>rpsU2</w:t>
      </w:r>
      <w:r>
        <w:t xml:space="preserve">, and </w:t>
      </w:r>
      <w:r w:rsidRPr="002505C7">
        <w:rPr>
          <w:i/>
          <w:iCs/>
        </w:rPr>
        <w:t>rpsU</w:t>
      </w:r>
      <w:r w:rsidRPr="00F8642A">
        <w:rPr>
          <w:i/>
          <w:iCs/>
        </w:rPr>
        <w:t>3</w:t>
      </w:r>
      <w:r>
        <w:rPr>
          <w:i/>
          <w:iCs/>
        </w:rPr>
        <w:t xml:space="preserve">. </w:t>
      </w:r>
      <w:r>
        <w:t xml:space="preserve">Preliminary research has found that bS21-2 and bS21-3 are incorporated into ribosomes that have been isolated from wild-type </w:t>
      </w:r>
      <w:r>
        <w:rPr>
          <w:i/>
          <w:iCs/>
        </w:rPr>
        <w:t xml:space="preserve">F. tularensis </w:t>
      </w:r>
      <w:r>
        <w:t>cells, and all three proteins can become incorporated into ribosomes when overexpressed on a plasmid</w:t>
      </w:r>
      <w:r w:rsidR="00CB4DC5">
        <w:t xml:space="preserve"> </w:t>
      </w:r>
      <w:r w:rsidR="00CB4DC5" w:rsidRPr="00CB4DC5">
        <w:rPr>
          <w:highlight w:val="yellow"/>
        </w:rPr>
        <w:t>(do I just say unpublished data here, or not cite it at all?)</w:t>
      </w:r>
      <w:r w:rsidRPr="00CB4DC5">
        <w:rPr>
          <w:highlight w:val="yellow"/>
        </w:rPr>
        <w:t>.</w:t>
      </w:r>
      <w:r w:rsidR="00D753C6">
        <w:t xml:space="preserve"> This suggests that </w:t>
      </w:r>
      <w:r w:rsidR="00D753C6">
        <w:rPr>
          <w:i/>
          <w:iCs/>
        </w:rPr>
        <w:t xml:space="preserve">F. tularensis </w:t>
      </w:r>
      <w:r w:rsidR="00D753C6">
        <w:t>has heterogenous ribosome populations containing different bS21 proteins and is therefore an ideal candidate to study the potential effect of bS21 on regulation of gene expression at the level of translation initiation.</w:t>
      </w:r>
      <w:r w:rsidR="002E62BD">
        <w:t xml:space="preserve"> </w:t>
      </w:r>
      <w:r w:rsidR="00B7638D">
        <w:t>Moreover</w:t>
      </w:r>
      <w:r w:rsidR="002E62BD">
        <w:t xml:space="preserve">, we have found in our early research that loss of </w:t>
      </w:r>
      <w:r w:rsidR="002E62BD">
        <w:rPr>
          <w:i/>
          <w:iCs/>
        </w:rPr>
        <w:t xml:space="preserve">rpsU2 </w:t>
      </w:r>
      <w:r w:rsidR="002E62BD">
        <w:t xml:space="preserve">results in a defect in intramacrophage growth of </w:t>
      </w:r>
      <w:r w:rsidR="002E62BD">
        <w:rPr>
          <w:i/>
          <w:iCs/>
        </w:rPr>
        <w:t xml:space="preserve">F. tularensis </w:t>
      </w:r>
      <w:r w:rsidR="002E62BD">
        <w:t>cells. This finding provides a potential mechanism for which the bacteria may be using the bS21 homologs, a topic which will be further explored throughout this study.</w:t>
      </w:r>
    </w:p>
    <w:p w14:paraId="1CE332A2" w14:textId="5E39E96C" w:rsidR="0056002C" w:rsidRDefault="0056002C" w:rsidP="000527BE">
      <w:pPr>
        <w:pStyle w:val="Heading3"/>
      </w:pPr>
      <w:r w:rsidRPr="000527BE">
        <w:t>2.3.2</w:t>
      </w:r>
      <w:r w:rsidR="00CA2CFE">
        <w:t>.</w:t>
      </w:r>
      <w:r w:rsidRPr="000527BE">
        <w:t xml:space="preserve"> </w:t>
      </w:r>
      <w:r w:rsidR="000527BE" w:rsidRPr="000527BE">
        <w:rPr>
          <w:iCs/>
        </w:rPr>
        <w:t>Staphylococcus</w:t>
      </w:r>
      <w:r w:rsidRPr="000527BE">
        <w:rPr>
          <w:iCs/>
        </w:rPr>
        <w:t xml:space="preserve"> aureus</w:t>
      </w:r>
      <w:r w:rsidRPr="000527BE">
        <w:t xml:space="preserve"> has </w:t>
      </w:r>
      <w:r w:rsidR="000527BE">
        <w:t xml:space="preserve">only one </w:t>
      </w:r>
      <w:r w:rsidR="000527BE">
        <w:rPr>
          <w:iCs/>
        </w:rPr>
        <w:t>rpsU</w:t>
      </w:r>
      <w:r w:rsidRPr="000527BE">
        <w:t xml:space="preserve"> gene</w:t>
      </w:r>
    </w:p>
    <w:p w14:paraId="5C266E4A" w14:textId="5381DF1E" w:rsidR="00EE4A36" w:rsidRPr="00EE4A36" w:rsidRDefault="00EE4A36" w:rsidP="002E62BD">
      <w:r>
        <w:tab/>
      </w:r>
      <w:r>
        <w:rPr>
          <w:i/>
          <w:iCs/>
        </w:rPr>
        <w:t xml:space="preserve">Staphylococcus aureus </w:t>
      </w:r>
      <w:r>
        <w:t xml:space="preserve">is a well-known </w:t>
      </w:r>
      <w:r w:rsidR="00EA301A">
        <w:t xml:space="preserve">Gram-positive </w:t>
      </w:r>
      <w:r>
        <w:t xml:space="preserve">facultative human pathogen, that normally lives on the skin and mucosal membranes of humans (Grace Fetsch 2018). It has been the subject of much research because of the clinical importance of the antibiotic-resistance of many </w:t>
      </w:r>
      <w:r>
        <w:rPr>
          <w:i/>
          <w:iCs/>
        </w:rPr>
        <w:t xml:space="preserve">S. aureus </w:t>
      </w:r>
      <w:r>
        <w:t xml:space="preserve">strains, including methicillin-resistant </w:t>
      </w:r>
      <w:r>
        <w:rPr>
          <w:i/>
          <w:iCs/>
        </w:rPr>
        <w:t xml:space="preserve">S. aureus </w:t>
      </w:r>
      <w:r>
        <w:t xml:space="preserve">(MRSA; chambers and deleo). </w:t>
      </w:r>
      <w:r w:rsidR="00EA301A">
        <w:rPr>
          <w:i/>
          <w:iCs/>
        </w:rPr>
        <w:t xml:space="preserve">S. aureus </w:t>
      </w:r>
      <w:r w:rsidR="00EA301A">
        <w:t xml:space="preserve">presents another ideal system to study bS21, because mutations in the single </w:t>
      </w:r>
      <w:r w:rsidR="00EA301A">
        <w:rPr>
          <w:i/>
          <w:iCs/>
        </w:rPr>
        <w:t>rpsU</w:t>
      </w:r>
      <w:r w:rsidR="00EA301A">
        <w:t xml:space="preserve"> gene have been identified in isolates with reduced susceptibility to daptomycin and vancomycin (Basco kathari, friedman alder)</w:t>
      </w:r>
      <w:r w:rsidR="007D5CBF">
        <w:t>.</w:t>
      </w:r>
      <w:r w:rsidR="00DC13A1">
        <w:t xml:space="preserve"> Additionally, transposon library screening has confirmed that interruption of the </w:t>
      </w:r>
      <w:r w:rsidR="00DC13A1" w:rsidRPr="00DC13A1">
        <w:rPr>
          <w:i/>
          <w:iCs/>
        </w:rPr>
        <w:t>rpsU</w:t>
      </w:r>
      <w:r w:rsidR="00DC13A1">
        <w:t xml:space="preserve"> gene</w:t>
      </w:r>
      <w:r w:rsidR="007D5CBF">
        <w:t xml:space="preserve"> </w:t>
      </w:r>
      <w:r w:rsidR="00DC13A1">
        <w:t xml:space="preserve">has been sufficient to alter resistance to both of these antibiotics (Blake oneill). </w:t>
      </w:r>
      <w:r w:rsidR="00EA301A">
        <w:t xml:space="preserve">The mechanism by which this occurs is still not understood, but these findings </w:t>
      </w:r>
      <w:r w:rsidR="00EA301A">
        <w:lastRenderedPageBreak/>
        <w:t xml:space="preserve">suggest that </w:t>
      </w:r>
      <w:r w:rsidR="007D5CBF">
        <w:t>alterations in bS21 may have</w:t>
      </w:r>
      <w:r w:rsidR="003A6BDA">
        <w:t xml:space="preserve"> subsequent</w:t>
      </w:r>
      <w:r w:rsidR="007D5CBF">
        <w:t xml:space="preserve"> effects on cell-wall synthesis, as that is the target of both </w:t>
      </w:r>
      <w:r w:rsidR="00006FB3">
        <w:t>daptomycin and vancomycin.</w:t>
      </w:r>
      <w:r w:rsidR="00E032CE">
        <w:t xml:space="preserve"> </w:t>
      </w:r>
      <w:r w:rsidR="009A1FEC">
        <w:t xml:space="preserve">Further, there is no evidence that bS21 acts as a transcription factor, so it is possible that the effects of these mutations are played out at the level of translation. </w:t>
      </w:r>
      <w:r w:rsidR="00E032CE">
        <w:t>Th</w:t>
      </w:r>
      <w:r w:rsidR="009A1FEC">
        <w:t>is</w:t>
      </w:r>
      <w:r w:rsidR="00E032CE">
        <w:t xml:space="preserve"> provides a second, </w:t>
      </w:r>
      <w:r w:rsidR="006E1C88">
        <w:t>distinct</w:t>
      </w:r>
      <w:r w:rsidR="00E032CE">
        <w:t xml:space="preserve"> mechanism by which to study the role of bS21and the possibility of </w:t>
      </w:r>
      <w:r w:rsidR="009A1FEC">
        <w:t>gene regulation at the level of translation.</w:t>
      </w:r>
    </w:p>
    <w:p w14:paraId="3658DF39" w14:textId="6EBCBE68" w:rsidR="0024618C" w:rsidRDefault="00DE76BD" w:rsidP="0024618C">
      <w:pPr>
        <w:pStyle w:val="Heading2"/>
      </w:pPr>
      <w:r>
        <w:t>2.</w:t>
      </w:r>
      <w:r w:rsidR="0056002C">
        <w:t>4</w:t>
      </w:r>
      <w:r w:rsidR="00CA2CFE">
        <w:t>.</w:t>
      </w:r>
      <w:r>
        <w:t xml:space="preserve"> </w:t>
      </w:r>
      <w:r w:rsidR="00EA13E7">
        <w:rPr>
          <w:i/>
          <w:iCs/>
        </w:rPr>
        <w:t xml:space="preserve">F. tularensis </w:t>
      </w:r>
      <w:r w:rsidR="002C25EF">
        <w:t>Type VI secretion system is critical for virulence</w:t>
      </w:r>
    </w:p>
    <w:p w14:paraId="459CF478" w14:textId="4AA8A7DA" w:rsidR="00426E5E" w:rsidRDefault="00243EB3" w:rsidP="00C82977">
      <w:r>
        <w:tab/>
      </w:r>
      <w:r w:rsidR="004E1A86">
        <w:t xml:space="preserve">As mentioned, we have found that loss of </w:t>
      </w:r>
      <w:r w:rsidR="004E1A86">
        <w:rPr>
          <w:i/>
          <w:iCs/>
        </w:rPr>
        <w:t xml:space="preserve">rpsU2 </w:t>
      </w:r>
      <w:r w:rsidR="004E1A86">
        <w:t xml:space="preserve">in </w:t>
      </w:r>
      <w:r w:rsidR="004E1A86">
        <w:rPr>
          <w:i/>
          <w:iCs/>
        </w:rPr>
        <w:t>F. tularensis</w:t>
      </w:r>
      <w:r w:rsidR="004E1A86">
        <w:t xml:space="preserve"> leads to defects in virulence of these bacterial cells. Our early findings also show that in this genetic background there is a loss in expression of a number of proteins that make up the Type VI secretion system (T6SS). </w:t>
      </w:r>
      <w:r w:rsidR="00F73967">
        <w:t xml:space="preserve">The T6SS in </w:t>
      </w:r>
      <w:r w:rsidR="00F73967">
        <w:rPr>
          <w:i/>
          <w:iCs/>
        </w:rPr>
        <w:t xml:space="preserve">F. tularensis </w:t>
      </w:r>
      <w:r w:rsidR="00F73967">
        <w:t xml:space="preserve">is unique among Type VI secretion systems, lacking homologs to a number of structural proteins (Russell, Wexler), but presence of a functional </w:t>
      </w:r>
      <w:r w:rsidR="00406BE7">
        <w:t>T6SS</w:t>
      </w:r>
      <w:r w:rsidR="00F73967">
        <w:t xml:space="preserve"> </w:t>
      </w:r>
      <w:r w:rsidR="00D3303F">
        <w:t xml:space="preserve">in </w:t>
      </w:r>
      <w:r w:rsidR="00D3303F">
        <w:rPr>
          <w:i/>
          <w:iCs/>
        </w:rPr>
        <w:t>F. tularensis</w:t>
      </w:r>
      <w:r w:rsidR="00D3303F">
        <w:t xml:space="preserve"> </w:t>
      </w:r>
      <w:r w:rsidR="00F73967">
        <w:t xml:space="preserve">is absolutely necessary for virulence and intramacrophage growth (Eshgraghi). </w:t>
      </w:r>
      <w:r w:rsidR="00CC0E92">
        <w:t xml:space="preserve">The T6SS is encoded by approximately 16 genes, in duplicate, that comprise the </w:t>
      </w:r>
      <w:r w:rsidR="00CC0E92">
        <w:rPr>
          <w:i/>
          <w:iCs/>
        </w:rPr>
        <w:t xml:space="preserve">Francisella </w:t>
      </w:r>
      <w:r w:rsidR="00CC0E92">
        <w:t>pathogenicity island</w:t>
      </w:r>
      <w:r w:rsidR="008D3A6A">
        <w:t>s</w:t>
      </w:r>
      <w:r w:rsidR="00CC0E92">
        <w:t xml:space="preserve"> (FPI; nano and schmerk). Each FPI is composed of two operons</w:t>
      </w:r>
      <w:r w:rsidR="008D3A6A">
        <w:t xml:space="preserve"> on opposite strands:</w:t>
      </w:r>
      <w:r w:rsidR="00CC0E92">
        <w:t xml:space="preserve"> one </w:t>
      </w:r>
      <w:r w:rsidR="008D3A6A">
        <w:t>with</w:t>
      </w:r>
      <w:r w:rsidR="00CC0E92">
        <w:t xml:space="preserve"> four genes (</w:t>
      </w:r>
      <w:r w:rsidR="00CC0E92">
        <w:rPr>
          <w:i/>
          <w:iCs/>
        </w:rPr>
        <w:t xml:space="preserve">iglA, iglB, iglC, </w:t>
      </w:r>
      <w:r w:rsidR="00CC0E92">
        <w:t xml:space="preserve">and </w:t>
      </w:r>
      <w:r w:rsidR="00CC0E92">
        <w:rPr>
          <w:i/>
          <w:iCs/>
        </w:rPr>
        <w:t>iglD</w:t>
      </w:r>
      <w:r w:rsidR="00CC0E92">
        <w:t>)</w:t>
      </w:r>
      <w:r w:rsidR="006D3A36">
        <w:t xml:space="preserve"> and the other</w:t>
      </w:r>
      <w:r w:rsidR="0018364A">
        <w:t xml:space="preserve"> </w:t>
      </w:r>
      <w:r w:rsidR="008D3A6A">
        <w:t>with</w:t>
      </w:r>
      <w:r w:rsidR="0018364A">
        <w:t xml:space="preserve"> the remaining 12 genes</w:t>
      </w:r>
      <w:r w:rsidR="0082152A">
        <w:t xml:space="preserve">, including </w:t>
      </w:r>
      <w:r w:rsidR="0082152A">
        <w:rPr>
          <w:i/>
          <w:iCs/>
        </w:rPr>
        <w:t>pdpA, pdpB, iglE</w:t>
      </w:r>
      <w:r w:rsidR="0082152A">
        <w:t>, and others</w:t>
      </w:r>
      <w:r w:rsidR="0018364A">
        <w:t xml:space="preserve"> (</w:t>
      </w:r>
      <w:r w:rsidR="0018364A" w:rsidRPr="0018364A">
        <w:rPr>
          <w:highlight w:val="yellow"/>
        </w:rPr>
        <w:t>would it be easier to insert a figure here?).</w:t>
      </w:r>
      <w:r w:rsidR="0018364A">
        <w:t xml:space="preserve"> </w:t>
      </w:r>
      <w:r w:rsidR="00343E6F">
        <w:t xml:space="preserve">Regulation of the FPI has previously been shown to occur at the level of transcription, with a number of </w:t>
      </w:r>
      <w:r w:rsidR="00A1753B">
        <w:t xml:space="preserve">proteins involved including </w:t>
      </w:r>
      <w:r w:rsidR="001A11F9" w:rsidRPr="001A11F9">
        <w:t>M</w:t>
      </w:r>
      <w:r w:rsidR="00A1753B" w:rsidRPr="001A11F9">
        <w:t xml:space="preserve">glA, </w:t>
      </w:r>
      <w:r w:rsidR="001A11F9">
        <w:t>S</w:t>
      </w:r>
      <w:r w:rsidR="00A1753B" w:rsidRPr="001A11F9">
        <w:t xml:space="preserve">spA, and </w:t>
      </w:r>
      <w:r w:rsidR="001A11F9">
        <w:t>P</w:t>
      </w:r>
      <w:r w:rsidR="00A1753B" w:rsidRPr="001A11F9">
        <w:t>igR</w:t>
      </w:r>
      <w:r w:rsidR="007B5B5E">
        <w:t xml:space="preserve"> (brotcke, charity, ramsey (3 papers)). </w:t>
      </w:r>
    </w:p>
    <w:p w14:paraId="019AA59D" w14:textId="0DAA23D4" w:rsidR="00C82977" w:rsidRDefault="001601BF" w:rsidP="00426E5E">
      <w:pPr>
        <w:ind w:firstLine="720"/>
      </w:pPr>
      <w:r>
        <w:rPr>
          <w:noProof/>
        </w:rPr>
        <w:lastRenderedPageBreak/>
        <mc:AlternateContent>
          <mc:Choice Requires="wps">
            <w:drawing>
              <wp:anchor distT="45720" distB="45720" distL="114300" distR="114300" simplePos="0" relativeHeight="251660288" behindDoc="0" locked="0" layoutInCell="1" allowOverlap="1" wp14:anchorId="50CB9B72" wp14:editId="4F8C980E">
                <wp:simplePos x="0" y="0"/>
                <wp:positionH relativeFrom="column">
                  <wp:posOffset>3397250</wp:posOffset>
                </wp:positionH>
                <wp:positionV relativeFrom="paragraph">
                  <wp:posOffset>2691130</wp:posOffset>
                </wp:positionV>
                <wp:extent cx="2705100" cy="7175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717550"/>
                        </a:xfrm>
                        <a:prstGeom prst="rect">
                          <a:avLst/>
                        </a:prstGeom>
                        <a:solidFill>
                          <a:srgbClr val="FFFFFF"/>
                        </a:solidFill>
                        <a:ln w="9525">
                          <a:solidFill>
                            <a:srgbClr val="000000"/>
                          </a:solidFill>
                          <a:miter lim="800000"/>
                          <a:headEnd/>
                          <a:tailEnd/>
                        </a:ln>
                      </wps:spPr>
                      <wps:txbx>
                        <w:txbxContent>
                          <w:p w14:paraId="27E21B63" w14:textId="54D01B34" w:rsidR="00FE0336" w:rsidRPr="001601BF" w:rsidRDefault="00FE0336" w:rsidP="00E53B32">
                            <w:pPr>
                              <w:spacing w:line="240" w:lineRule="auto"/>
                              <w:rPr>
                                <w:sz w:val="20"/>
                                <w:szCs w:val="20"/>
                              </w:rPr>
                            </w:pPr>
                            <w:r w:rsidRPr="001601BF">
                              <w:rPr>
                                <w:b/>
                                <w:bCs/>
                                <w:sz w:val="20"/>
                                <w:szCs w:val="20"/>
                              </w:rPr>
                              <w:t>Figure 1:</w:t>
                            </w:r>
                            <w:r w:rsidR="00E53B32" w:rsidRPr="001601BF">
                              <w:rPr>
                                <w:b/>
                                <w:bCs/>
                                <w:sz w:val="20"/>
                                <w:szCs w:val="20"/>
                              </w:rPr>
                              <w:t xml:space="preserve"> </w:t>
                            </w:r>
                            <w:r w:rsidR="00E53B32" w:rsidRPr="001601BF">
                              <w:rPr>
                                <w:sz w:val="20"/>
                                <w:szCs w:val="20"/>
                              </w:rPr>
                              <w:t xml:space="preserve">Western blots of whole cell lysate samples of wild-type </w:t>
                            </w:r>
                            <w:r w:rsidR="00E53B32" w:rsidRPr="001601BF">
                              <w:rPr>
                                <w:i/>
                                <w:iCs/>
                                <w:sz w:val="20"/>
                                <w:szCs w:val="20"/>
                              </w:rPr>
                              <w:t>F. tularensis</w:t>
                            </w:r>
                            <w:r w:rsidR="00E53B32" w:rsidRPr="001601BF">
                              <w:rPr>
                                <w:sz w:val="20"/>
                                <w:szCs w:val="20"/>
                              </w:rPr>
                              <w:t xml:space="preserve"> samples, </w:t>
                            </w:r>
                            <w:r w:rsidR="00E53B32" w:rsidRPr="001601BF">
                              <w:rPr>
                                <w:rFonts w:ascii="Calibri" w:hAnsi="Calibri" w:cs="Calibri"/>
                                <w:i/>
                                <w:iCs/>
                                <w:sz w:val="20"/>
                                <w:szCs w:val="20"/>
                              </w:rPr>
                              <w:t>Δ</w:t>
                            </w:r>
                            <w:r w:rsidR="00E53B32" w:rsidRPr="001601BF">
                              <w:rPr>
                                <w:i/>
                                <w:iCs/>
                                <w:sz w:val="20"/>
                                <w:szCs w:val="20"/>
                              </w:rPr>
                              <w:t>rpsU2</w:t>
                            </w:r>
                            <w:r w:rsidR="00E53B32" w:rsidRPr="001601BF">
                              <w:rPr>
                                <w:sz w:val="20"/>
                                <w:szCs w:val="20"/>
                              </w:rPr>
                              <w:t xml:space="preserve">, and </w:t>
                            </w:r>
                            <w:r w:rsidR="00E53B32" w:rsidRPr="001601BF">
                              <w:rPr>
                                <w:rFonts w:ascii="Calibri" w:hAnsi="Calibri" w:cs="Calibri"/>
                                <w:i/>
                                <w:iCs/>
                                <w:sz w:val="20"/>
                                <w:szCs w:val="20"/>
                              </w:rPr>
                              <w:t>Δ</w:t>
                            </w:r>
                            <w:r w:rsidR="00E53B32" w:rsidRPr="001601BF">
                              <w:rPr>
                                <w:i/>
                                <w:iCs/>
                                <w:sz w:val="20"/>
                                <w:szCs w:val="20"/>
                              </w:rPr>
                              <w:t>pigR</w:t>
                            </w:r>
                            <w:r w:rsidR="00E53B32" w:rsidRPr="001601BF">
                              <w:rPr>
                                <w:sz w:val="20"/>
                                <w:szCs w:val="20"/>
                              </w:rPr>
                              <w:t>, in duplicate, with a range of antibodies. LpnA serves as a loading control.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CB9B72" id="_x0000_t202" coordsize="21600,21600" o:spt="202" path="m,l,21600r21600,l21600,xe">
                <v:stroke joinstyle="miter"/>
                <v:path gradientshapeok="t" o:connecttype="rect"/>
              </v:shapetype>
              <v:shape id="Text Box 2" o:spid="_x0000_s1026" type="#_x0000_t202" style="position:absolute;left:0;text-align:left;margin-left:267.5pt;margin-top:211.9pt;width:213pt;height:56.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">
                <v:textbox>
                  <w:txbxContent>
                    <w:p w14:paraId="27E21B63" w14:textId="54D01B34" w:rsidR="00FE0336" w:rsidRPr="001601BF" w:rsidRDefault="00FE0336" w:rsidP="00E53B32">
                      <w:pPr>
                        <w:spacing w:line="240" w:lineRule="auto"/>
                        <w:rPr>
                          <w:sz w:val="20"/>
                          <w:szCs w:val="20"/>
                        </w:rPr>
                      </w:pPr>
                      <w:r w:rsidRPr="001601BF">
                        <w:rPr>
                          <w:b/>
                          <w:bCs/>
                          <w:sz w:val="20"/>
                          <w:szCs w:val="20"/>
                        </w:rPr>
                        <w:t>Figure 1:</w:t>
                      </w:r>
                      <w:r w:rsidR="00E53B32" w:rsidRPr="001601BF">
                        <w:rPr>
                          <w:b/>
                          <w:bCs/>
                          <w:sz w:val="20"/>
                          <w:szCs w:val="20"/>
                        </w:rPr>
                        <w:t xml:space="preserve"> </w:t>
                      </w:r>
                      <w:r w:rsidR="00E53B32" w:rsidRPr="001601BF">
                        <w:rPr>
                          <w:sz w:val="20"/>
                          <w:szCs w:val="20"/>
                        </w:rPr>
                        <w:t xml:space="preserve">Western blots of whole cell lysate samples of wild-type </w:t>
                      </w:r>
                      <w:r w:rsidR="00E53B32" w:rsidRPr="001601BF">
                        <w:rPr>
                          <w:i/>
                          <w:iCs/>
                          <w:sz w:val="20"/>
                          <w:szCs w:val="20"/>
                        </w:rPr>
                        <w:t>F. tularensis</w:t>
                      </w:r>
                      <w:r w:rsidR="00E53B32" w:rsidRPr="001601BF">
                        <w:rPr>
                          <w:sz w:val="20"/>
                          <w:szCs w:val="20"/>
                        </w:rPr>
                        <w:t xml:space="preserve"> samples, </w:t>
                      </w:r>
                      <w:r w:rsidR="00E53B32" w:rsidRPr="001601BF">
                        <w:rPr>
                          <w:rFonts w:ascii="Calibri" w:hAnsi="Calibri" w:cs="Calibri"/>
                          <w:i/>
                          <w:iCs/>
                          <w:sz w:val="20"/>
                          <w:szCs w:val="20"/>
                        </w:rPr>
                        <w:t>Δ</w:t>
                      </w:r>
                      <w:r w:rsidR="00E53B32" w:rsidRPr="001601BF">
                        <w:rPr>
                          <w:i/>
                          <w:iCs/>
                          <w:sz w:val="20"/>
                          <w:szCs w:val="20"/>
                        </w:rPr>
                        <w:t>rpsU2</w:t>
                      </w:r>
                      <w:r w:rsidR="00E53B32" w:rsidRPr="001601BF">
                        <w:rPr>
                          <w:sz w:val="20"/>
                          <w:szCs w:val="20"/>
                        </w:rPr>
                        <w:t xml:space="preserve">, and </w:t>
                      </w:r>
                      <w:r w:rsidR="00E53B32" w:rsidRPr="001601BF">
                        <w:rPr>
                          <w:rFonts w:ascii="Calibri" w:hAnsi="Calibri" w:cs="Calibri"/>
                          <w:i/>
                          <w:iCs/>
                          <w:sz w:val="20"/>
                          <w:szCs w:val="20"/>
                        </w:rPr>
                        <w:t>Δ</w:t>
                      </w:r>
                      <w:r w:rsidR="00E53B32" w:rsidRPr="001601BF">
                        <w:rPr>
                          <w:i/>
                          <w:iCs/>
                          <w:sz w:val="20"/>
                          <w:szCs w:val="20"/>
                        </w:rPr>
                        <w:t>pigR</w:t>
                      </w:r>
                      <w:r w:rsidR="00E53B32" w:rsidRPr="001601BF">
                        <w:rPr>
                          <w:sz w:val="20"/>
                          <w:szCs w:val="20"/>
                        </w:rPr>
                        <w:t>, in duplicate, with a range of antibodies. LpnA serves as a loading control.</w:t>
                      </w:r>
                    </w:p>
                  </w:txbxContent>
                </v:textbox>
                <w10:wrap type="square"/>
              </v:shape>
            </w:pict>
          </mc:Fallback>
        </mc:AlternateContent>
      </w:r>
      <w:r>
        <w:rPr>
          <w:noProof/>
        </w:rPr>
        <w:drawing>
          <wp:anchor distT="0" distB="0" distL="114300" distR="114300" simplePos="0" relativeHeight="251658240" behindDoc="1" locked="0" layoutInCell="1" allowOverlap="1" wp14:anchorId="15D4CFA8" wp14:editId="678283EA">
            <wp:simplePos x="0" y="0"/>
            <wp:positionH relativeFrom="column">
              <wp:posOffset>3244850</wp:posOffset>
            </wp:positionH>
            <wp:positionV relativeFrom="paragraph">
              <wp:posOffset>290830</wp:posOffset>
            </wp:positionV>
            <wp:extent cx="2881630" cy="2308225"/>
            <wp:effectExtent l="0" t="0" r="0" b="0"/>
            <wp:wrapTight wrapText="bothSides">
              <wp:wrapPolygon edited="0">
                <wp:start x="0" y="0"/>
                <wp:lineTo x="0" y="21392"/>
                <wp:lineTo x="21419" y="21392"/>
                <wp:lineTo x="2141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b="831"/>
                    <a:stretch/>
                  </pic:blipFill>
                  <pic:spPr bwMode="auto">
                    <a:xfrm>
                      <a:off x="0" y="0"/>
                      <a:ext cx="2881630" cy="2308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11F9">
        <w:t xml:space="preserve">Through immunoblotting, we have found that </w:t>
      </w:r>
      <w:r w:rsidR="00426E5E">
        <w:t>loss</w:t>
      </w:r>
      <w:r w:rsidR="002D32DE">
        <w:t xml:space="preserve"> of</w:t>
      </w:r>
      <w:r w:rsidR="00426E5E">
        <w:t xml:space="preserve"> </w:t>
      </w:r>
      <w:r w:rsidR="00426E5E">
        <w:rPr>
          <w:i/>
          <w:iCs/>
        </w:rPr>
        <w:t>rpsU2</w:t>
      </w:r>
      <w:r w:rsidR="00426E5E">
        <w:t xml:space="preserve"> results in alterations in protein abundance </w:t>
      </w:r>
      <w:r w:rsidR="002D32DE">
        <w:t>for only</w:t>
      </w:r>
      <w:r w:rsidR="00426E5E">
        <w:t xml:space="preserve"> one FPI operon</w:t>
      </w:r>
      <w:r w:rsidR="009E64D1">
        <w:t xml:space="preserve"> (Figure 1)</w:t>
      </w:r>
      <w:r w:rsidR="002D32DE">
        <w:t>. S</w:t>
      </w:r>
      <w:r w:rsidR="00426E5E">
        <w:t>pecifically, PdpA and PdpB levels are significantly decrease</w:t>
      </w:r>
      <w:r w:rsidR="002D32DE">
        <w:t>d. T</w:t>
      </w:r>
      <w:r w:rsidR="00426E5E">
        <w:t xml:space="preserve">he proteins from the </w:t>
      </w:r>
      <w:r w:rsidR="00426E5E">
        <w:rPr>
          <w:i/>
          <w:iCs/>
        </w:rPr>
        <w:t>iglA-D</w:t>
      </w:r>
      <w:r w:rsidR="00426E5E">
        <w:t xml:space="preserve"> operon remain relatively unchanged. We have also shown that the abundance of mRNA for </w:t>
      </w:r>
      <w:r w:rsidR="00426E5E">
        <w:rPr>
          <w:i/>
          <w:iCs/>
        </w:rPr>
        <w:t xml:space="preserve">pdpA </w:t>
      </w:r>
      <w:r w:rsidR="00426E5E" w:rsidRPr="00426E5E">
        <w:t>and</w:t>
      </w:r>
      <w:r w:rsidR="00426E5E">
        <w:rPr>
          <w:i/>
          <w:iCs/>
        </w:rPr>
        <w:t xml:space="preserve"> pdpB </w:t>
      </w:r>
      <w:r w:rsidR="00426E5E">
        <w:t xml:space="preserve">is </w:t>
      </w:r>
      <w:r w:rsidR="00A5667B">
        <w:t>comparable</w:t>
      </w:r>
      <w:r w:rsidR="00426E5E">
        <w:t xml:space="preserve"> </w:t>
      </w:r>
      <w:r w:rsidR="00A5667B">
        <w:t>between</w:t>
      </w:r>
      <w:r w:rsidR="00426E5E">
        <w:t xml:space="preserve"> wild-type cells </w:t>
      </w:r>
      <w:r w:rsidR="00A5667B">
        <w:t>and</w:t>
      </w:r>
      <w:r w:rsidR="00426E5E">
        <w:t xml:space="preserve"> </w:t>
      </w:r>
      <w:r w:rsidR="00426E5E">
        <w:rPr>
          <w:rFonts w:ascii="Calibri" w:hAnsi="Calibri" w:cs="Calibri"/>
          <w:i/>
          <w:iCs/>
        </w:rPr>
        <w:t>Δ</w:t>
      </w:r>
      <w:r w:rsidR="00426E5E">
        <w:rPr>
          <w:i/>
          <w:iCs/>
        </w:rPr>
        <w:t>rpsU2</w:t>
      </w:r>
      <w:r w:rsidR="009E64D1">
        <w:rPr>
          <w:i/>
          <w:iCs/>
        </w:rPr>
        <w:t xml:space="preserve"> </w:t>
      </w:r>
      <w:r w:rsidR="009E64D1">
        <w:t>(Figure 2)</w:t>
      </w:r>
      <w:r w:rsidR="00426E5E">
        <w:t xml:space="preserve">, indicating that the changes in protein abundance are not being regulated at the level of transcription. </w:t>
      </w:r>
      <w:r w:rsidR="009E64D1">
        <w:rPr>
          <w:rFonts w:ascii="Calibri" w:hAnsi="Calibri" w:cs="Calibri"/>
        </w:rPr>
        <w:t>Δ</w:t>
      </w:r>
      <w:r w:rsidR="009E64D1">
        <w:rPr>
          <w:i/>
          <w:iCs/>
        </w:rPr>
        <w:t xml:space="preserve">pigR </w:t>
      </w:r>
      <w:r w:rsidR="009E64D1">
        <w:t xml:space="preserve">is used as a control in these experiments as it has been shown to regulate protein abundance of FPI genes at the level of transcription. </w:t>
      </w:r>
      <w:r w:rsidR="00426E5E">
        <w:t>Th</w:t>
      </w:r>
      <w:r w:rsidR="009E64D1">
        <w:t>e results of these preliminary experiments</w:t>
      </w:r>
      <w:r w:rsidR="00426E5E">
        <w:t xml:space="preserve"> suggest that bS21-2 is essential for the specific translation of virulence genes in </w:t>
      </w:r>
      <w:r w:rsidR="00426E5E">
        <w:rPr>
          <w:i/>
          <w:iCs/>
        </w:rPr>
        <w:t>F. tularensis</w:t>
      </w:r>
      <w:r w:rsidR="00426E5E">
        <w:t xml:space="preserve"> and that this regulation </w:t>
      </w:r>
      <w:r w:rsidR="006E5F97">
        <w:t>may occur</w:t>
      </w:r>
      <w:r w:rsidR="00426E5E">
        <w:t xml:space="preserve"> at the level of translation.</w:t>
      </w:r>
      <w:r w:rsidR="006E5F97">
        <w:t xml:space="preserve"> The proposed study will further explore the mechanism by which bS21-2 is able to recognize specific mRNAs</w:t>
      </w:r>
      <w:r w:rsidR="008C1237">
        <w:t xml:space="preserve"> in order to regulate gene expression.</w:t>
      </w:r>
    </w:p>
    <w:p w14:paraId="5DBFB1A3" w14:textId="71127714" w:rsidR="001601BF" w:rsidRDefault="005A2CC6" w:rsidP="00426E5E">
      <w:pPr>
        <w:ind w:firstLine="720"/>
      </w:pPr>
      <w:r>
        <w:rPr>
          <w:noProof/>
        </w:rPr>
        <mc:AlternateContent>
          <mc:Choice Requires="wps">
            <w:drawing>
              <wp:anchor distT="45720" distB="45720" distL="114300" distR="114300" simplePos="0" relativeHeight="251664384" behindDoc="0" locked="0" layoutInCell="1" allowOverlap="1" wp14:anchorId="5EB1DF44" wp14:editId="628B52BD">
                <wp:simplePos x="0" y="0"/>
                <wp:positionH relativeFrom="column">
                  <wp:posOffset>4591050</wp:posOffset>
                </wp:positionH>
                <wp:positionV relativeFrom="paragraph">
                  <wp:posOffset>1549400</wp:posOffset>
                </wp:positionV>
                <wp:extent cx="635000" cy="260350"/>
                <wp:effectExtent l="0" t="0" r="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260350"/>
                        </a:xfrm>
                        <a:prstGeom prst="rect">
                          <a:avLst/>
                        </a:prstGeom>
                        <a:solidFill>
                          <a:schemeClr val="bg1"/>
                        </a:solidFill>
                        <a:ln w="9525">
                          <a:noFill/>
                          <a:miter lim="800000"/>
                          <a:headEnd/>
                          <a:tailEnd/>
                        </a:ln>
                      </wps:spPr>
                      <wps:txbx>
                        <w:txbxContent>
                          <w:p w14:paraId="52CBCFC9" w14:textId="3F7E6238" w:rsidR="005A2CC6" w:rsidRPr="00BB3C38" w:rsidRDefault="005A2CC6" w:rsidP="005A2CC6">
                            <w:pPr>
                              <w:rPr>
                                <w:i/>
                                <w:iCs/>
                                <w:sz w:val="20"/>
                                <w:szCs w:val="20"/>
                              </w:rPr>
                            </w:pPr>
                            <w:r>
                              <w:rPr>
                                <w:rFonts w:ascii="Calibri" w:hAnsi="Calibri" w:cs="Calibri"/>
                                <w:i/>
                                <w:iCs/>
                                <w:sz w:val="20"/>
                                <w:szCs w:val="20"/>
                              </w:rPr>
                              <w:t>Δ</w:t>
                            </w:r>
                            <w:r>
                              <w:rPr>
                                <w:i/>
                                <w:iCs/>
                                <w:sz w:val="20"/>
                                <w:szCs w:val="20"/>
                              </w:rPr>
                              <w:t>pigR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1DF44" id="_x0000_s1027" type="#_x0000_t202" style="position:absolute;left:0;text-align:left;margin-left:361.5pt;margin-top:122pt;width:50pt;height:20.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" fillcolor="white [3212]" stroked="f">
                <v:textbox>
                  <w:txbxContent>
                    <w:p w14:paraId="52CBCFC9" w14:textId="3F7E6238" w:rsidR="005A2CC6" w:rsidRPr="00BB3C38" w:rsidRDefault="005A2CC6" w:rsidP="005A2CC6">
                      <w:pPr>
                        <w:rPr>
                          <w:i/>
                          <w:iCs/>
                          <w:sz w:val="20"/>
                          <w:szCs w:val="20"/>
                        </w:rPr>
                      </w:pPr>
                      <w:r>
                        <w:rPr>
                          <w:rFonts w:ascii="Calibri" w:hAnsi="Calibri" w:cs="Calibri"/>
                          <w:i/>
                          <w:iCs/>
                          <w:sz w:val="20"/>
                          <w:szCs w:val="20"/>
                        </w:rPr>
                        <w:t>Δ</w:t>
                      </w:r>
                      <w:r>
                        <w:rPr>
                          <w:i/>
                          <w:iCs/>
                          <w:sz w:val="20"/>
                          <w:szCs w:val="20"/>
                        </w:rPr>
                        <w:t>pigR</w:t>
                      </w:r>
                    </w:p>
                  </w:txbxContent>
                </v:textbox>
              </v:shape>
            </w:pict>
          </mc:Fallback>
        </mc:AlternateContent>
      </w:r>
      <w:r w:rsidR="00BB3C38">
        <w:rPr>
          <w:noProof/>
        </w:rPr>
        <mc:AlternateContent>
          <mc:Choice Requires="wps">
            <w:drawing>
              <wp:anchor distT="45720" distB="45720" distL="114300" distR="114300" simplePos="0" relativeHeight="251662336" behindDoc="0" locked="0" layoutInCell="1" allowOverlap="1" wp14:anchorId="7872DF53" wp14:editId="43B722ED">
                <wp:simplePos x="0" y="0"/>
                <wp:positionH relativeFrom="column">
                  <wp:posOffset>4578350</wp:posOffset>
                </wp:positionH>
                <wp:positionV relativeFrom="paragraph">
                  <wp:posOffset>1333500</wp:posOffset>
                </wp:positionV>
                <wp:extent cx="635000" cy="260350"/>
                <wp:effectExtent l="0" t="0" r="0" b="63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260350"/>
                        </a:xfrm>
                        <a:prstGeom prst="rect">
                          <a:avLst/>
                        </a:prstGeom>
                        <a:solidFill>
                          <a:schemeClr val="bg1"/>
                        </a:solidFill>
                        <a:ln w="9525">
                          <a:noFill/>
                          <a:miter lim="800000"/>
                          <a:headEnd/>
                          <a:tailEnd/>
                        </a:ln>
                      </wps:spPr>
                      <wps:txbx>
                        <w:txbxContent>
                          <w:p w14:paraId="50DC5E14" w14:textId="705B537F" w:rsidR="00BB3C38" w:rsidRPr="00BB3C38" w:rsidRDefault="00BB3C38">
                            <w:pPr>
                              <w:rPr>
                                <w:i/>
                                <w:iCs/>
                                <w:sz w:val="20"/>
                                <w:szCs w:val="20"/>
                              </w:rPr>
                            </w:pPr>
                            <w:r>
                              <w:rPr>
                                <w:rFonts w:ascii="Calibri" w:hAnsi="Calibri" w:cs="Calibri"/>
                                <w:i/>
                                <w:iCs/>
                                <w:sz w:val="20"/>
                                <w:szCs w:val="20"/>
                              </w:rPr>
                              <w:t>Δ</w:t>
                            </w:r>
                            <w:r w:rsidRPr="00BB3C38">
                              <w:rPr>
                                <w:i/>
                                <w:iCs/>
                                <w:sz w:val="20"/>
                                <w:szCs w:val="20"/>
                              </w:rPr>
                              <w:t>rpsU2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72DF53" id="_x0000_s1028" type="#_x0000_t202" style="position:absolute;left:0;text-align:left;margin-left:360.5pt;margin-top:105pt;width:50pt;height:2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" fillcolor="white [3212]" stroked="f">
                <v:textbox>
                  <w:txbxContent>
                    <w:p w14:paraId="50DC5E14" w14:textId="705B537F" w:rsidR="00BB3C38" w:rsidRPr="00BB3C38" w:rsidRDefault="00BB3C38">
                      <w:pPr>
                        <w:rPr>
                          <w:i/>
                          <w:iCs/>
                          <w:sz w:val="20"/>
                          <w:szCs w:val="20"/>
                        </w:rPr>
                      </w:pPr>
                      <w:r>
                        <w:rPr>
                          <w:rFonts w:ascii="Calibri" w:hAnsi="Calibri" w:cs="Calibri"/>
                          <w:i/>
                          <w:iCs/>
                          <w:sz w:val="20"/>
                          <w:szCs w:val="20"/>
                        </w:rPr>
                        <w:t>Δ</w:t>
                      </w:r>
                      <w:r w:rsidRPr="00BB3C38">
                        <w:rPr>
                          <w:i/>
                          <w:iCs/>
                          <w:sz w:val="20"/>
                          <w:szCs w:val="20"/>
                        </w:rPr>
                        <w:t>rpsU2</w:t>
                      </w:r>
                    </w:p>
                  </w:txbxContent>
                </v:textbox>
              </v:shape>
            </w:pict>
          </mc:Fallback>
        </mc:AlternateContent>
      </w:r>
      <w:r w:rsidR="00FE0336">
        <w:tab/>
      </w:r>
      <w:r w:rsidR="00FE0336">
        <w:tab/>
      </w:r>
      <w:r w:rsidR="00FE0336">
        <w:tab/>
      </w:r>
      <w:r w:rsidR="00FE0336">
        <w:tab/>
      </w:r>
      <w:r w:rsidR="00AB4180">
        <w:rPr>
          <w:noProof/>
        </w:rPr>
        <w:drawing>
          <wp:anchor distT="0" distB="0" distL="114300" distR="114300" simplePos="0" relativeHeight="251657215" behindDoc="1" locked="0" layoutInCell="1" allowOverlap="1" wp14:anchorId="27C65231" wp14:editId="4BA7C60E">
            <wp:simplePos x="0" y="0"/>
            <wp:positionH relativeFrom="column">
              <wp:posOffset>457200</wp:posOffset>
            </wp:positionH>
            <wp:positionV relativeFrom="paragraph">
              <wp:posOffset>349250</wp:posOffset>
            </wp:positionV>
            <wp:extent cx="4857750" cy="2266950"/>
            <wp:effectExtent l="0" t="0" r="0" b="0"/>
            <wp:wrapTight wrapText="bothSides">
              <wp:wrapPolygon edited="0">
                <wp:start x="0" y="0"/>
                <wp:lineTo x="0" y="21418"/>
                <wp:lineTo x="21515" y="21418"/>
                <wp:lineTo x="21515" y="0"/>
                <wp:lineTo x="0" y="0"/>
              </wp:wrapPolygon>
            </wp:wrapTight>
            <wp:docPr id="2" name="Chart 2">
              <a:extLst xmlns:a="http://schemas.openxmlformats.org/drawingml/2006/main">
                <a:ext uri="{FF2B5EF4-FFF2-40B4-BE49-F238E27FC236}">
                  <a16:creationId xmlns:a16="http://schemas.microsoft.com/office/drawing/2014/main" id="{96BBEC56-1DF2-431A-B95C-A3E3CF3991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page">
              <wp14:pctWidth>0</wp14:pctWidth>
            </wp14:sizeRelH>
            <wp14:sizeRelV relativeFrom="page">
              <wp14:pctHeight>0</wp14:pctHeight>
            </wp14:sizeRelV>
          </wp:anchor>
        </w:drawing>
      </w:r>
      <w:r w:rsidR="00FE0336">
        <w:tab/>
      </w:r>
      <w:r w:rsidR="00FE0336">
        <w:tab/>
      </w:r>
    </w:p>
    <w:p w14:paraId="1ACBA158" w14:textId="28E10462" w:rsidR="00FE0336" w:rsidRPr="00FE0336" w:rsidRDefault="00FE0336" w:rsidP="00426E5E">
      <w:pPr>
        <w:ind w:firstLine="720"/>
        <w:rPr>
          <w:b/>
          <w:bCs/>
          <w:sz w:val="20"/>
          <w:szCs w:val="20"/>
        </w:rPr>
      </w:pPr>
      <w:r w:rsidRPr="00FE0336">
        <w:rPr>
          <w:b/>
          <w:bCs/>
          <w:sz w:val="20"/>
          <w:szCs w:val="20"/>
        </w:rPr>
        <w:t xml:space="preserve"> </w:t>
      </w:r>
    </w:p>
    <w:p w14:paraId="1A38B48A" w14:textId="766DB800" w:rsidR="001601BF" w:rsidRDefault="001601BF" w:rsidP="000B23C6"/>
    <w:p w14:paraId="2A7E1E8F" w14:textId="08222D7B" w:rsidR="001601BF" w:rsidRDefault="001601BF" w:rsidP="000B23C6"/>
    <w:p w14:paraId="68688F26" w14:textId="7FB3301E" w:rsidR="001601BF" w:rsidRDefault="001601BF" w:rsidP="000B23C6"/>
    <w:p w14:paraId="0F8B21F8" w14:textId="3FCD77DE" w:rsidR="001601BF" w:rsidRDefault="001601BF" w:rsidP="000B23C6"/>
    <w:p w14:paraId="6D99855B" w14:textId="4F95E2D0" w:rsidR="001601BF" w:rsidRDefault="00203897" w:rsidP="000B23C6">
      <w:r>
        <w:rPr>
          <w:noProof/>
        </w:rPr>
        <w:lastRenderedPageBreak/>
        <mc:AlternateContent>
          <mc:Choice Requires="wps">
            <w:drawing>
              <wp:anchor distT="45720" distB="45720" distL="114300" distR="114300" simplePos="0" relativeHeight="251666432" behindDoc="0" locked="0" layoutInCell="1" allowOverlap="1" wp14:anchorId="2532F1EC" wp14:editId="52A7A3E2">
                <wp:simplePos x="0" y="0"/>
                <wp:positionH relativeFrom="margin">
                  <wp:posOffset>495300</wp:posOffset>
                </wp:positionH>
                <wp:positionV relativeFrom="paragraph">
                  <wp:posOffset>25400</wp:posOffset>
                </wp:positionV>
                <wp:extent cx="4705350" cy="412750"/>
                <wp:effectExtent l="0" t="0" r="19050" b="254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5350" cy="412750"/>
                        </a:xfrm>
                        <a:prstGeom prst="rect">
                          <a:avLst/>
                        </a:prstGeom>
                        <a:solidFill>
                          <a:srgbClr val="FFFFFF"/>
                        </a:solidFill>
                        <a:ln w="9525">
                          <a:solidFill>
                            <a:srgbClr val="000000"/>
                          </a:solidFill>
                          <a:miter lim="800000"/>
                          <a:headEnd/>
                          <a:tailEnd/>
                        </a:ln>
                      </wps:spPr>
                      <wps:txbx>
                        <w:txbxContent>
                          <w:p w14:paraId="1E0E9ABA" w14:textId="666A4C94" w:rsidR="001601BF" w:rsidRPr="00AD0C77" w:rsidRDefault="001601BF" w:rsidP="001601BF">
                            <w:pPr>
                              <w:spacing w:line="240" w:lineRule="auto"/>
                              <w:rPr>
                                <w:sz w:val="20"/>
                                <w:szCs w:val="20"/>
                              </w:rPr>
                            </w:pPr>
                            <w:r w:rsidRPr="00AD0C77">
                              <w:rPr>
                                <w:b/>
                                <w:bCs/>
                                <w:sz w:val="20"/>
                                <w:szCs w:val="20"/>
                              </w:rPr>
                              <w:t xml:space="preserve">Figure 2: </w:t>
                            </w:r>
                            <w:r w:rsidRPr="00AD0C77">
                              <w:rPr>
                                <w:sz w:val="20"/>
                                <w:szCs w:val="20"/>
                              </w:rPr>
                              <w:t xml:space="preserve">qRT-PCR analysis of cDNA from wild-type </w:t>
                            </w:r>
                            <w:r w:rsidRPr="00AD0C77">
                              <w:rPr>
                                <w:i/>
                                <w:iCs/>
                                <w:sz w:val="20"/>
                                <w:szCs w:val="20"/>
                              </w:rPr>
                              <w:t>F. tularensis</w:t>
                            </w:r>
                            <w:r w:rsidRPr="00AD0C77">
                              <w:rPr>
                                <w:sz w:val="20"/>
                                <w:szCs w:val="20"/>
                              </w:rPr>
                              <w:t xml:space="preserve"> samples, </w:t>
                            </w:r>
                            <w:r w:rsidRPr="00AD0C77">
                              <w:rPr>
                                <w:rFonts w:ascii="Calibri" w:hAnsi="Calibri" w:cs="Calibri"/>
                                <w:i/>
                                <w:iCs/>
                                <w:sz w:val="20"/>
                                <w:szCs w:val="20"/>
                              </w:rPr>
                              <w:t>Δ</w:t>
                            </w:r>
                            <w:r w:rsidRPr="00AD0C77">
                              <w:rPr>
                                <w:i/>
                                <w:iCs/>
                                <w:sz w:val="20"/>
                                <w:szCs w:val="20"/>
                              </w:rPr>
                              <w:t>rpsU2</w:t>
                            </w:r>
                            <w:r w:rsidRPr="00AD0C77">
                              <w:rPr>
                                <w:sz w:val="20"/>
                                <w:szCs w:val="20"/>
                              </w:rPr>
                              <w:t xml:space="preserve">, and </w:t>
                            </w:r>
                            <w:r w:rsidRPr="00AD0C77">
                              <w:rPr>
                                <w:rFonts w:ascii="Calibri" w:hAnsi="Calibri" w:cs="Calibri"/>
                                <w:i/>
                                <w:iCs/>
                                <w:sz w:val="20"/>
                                <w:szCs w:val="20"/>
                              </w:rPr>
                              <w:t>Δ</w:t>
                            </w:r>
                            <w:r w:rsidRPr="00AD0C77">
                              <w:rPr>
                                <w:i/>
                                <w:iCs/>
                                <w:sz w:val="20"/>
                                <w:szCs w:val="20"/>
                              </w:rPr>
                              <w:t>pigR</w:t>
                            </w:r>
                            <w:r w:rsidRPr="00AD0C77">
                              <w:rPr>
                                <w:sz w:val="20"/>
                                <w:szCs w:val="20"/>
                              </w:rPr>
                              <w:t xml:space="preserve">, in triplicate, normalized to </w:t>
                            </w:r>
                            <w:r w:rsidR="00715F41">
                              <w:rPr>
                                <w:i/>
                                <w:iCs/>
                                <w:sz w:val="20"/>
                                <w:szCs w:val="20"/>
                              </w:rPr>
                              <w:t>tul4</w:t>
                            </w:r>
                            <w:r w:rsidRPr="00AD0C77">
                              <w:rPr>
                                <w:sz w:val="20"/>
                                <w:szCs w:val="20"/>
                              </w:rPr>
                              <w:t xml:space="preserve"> transcript abundance.</w:t>
                            </w:r>
                            <w:r w:rsidR="009E64D1" w:rsidRPr="00AD0C77">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2F1EC" id="_x0000_s1029" type="#_x0000_t202" style="position:absolute;margin-left:39pt;margin-top:2pt;width:370.5pt;height:3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">
                <v:textbox>
                  <w:txbxContent>
                    <w:p w14:paraId="1E0E9ABA" w14:textId="666A4C94" w:rsidR="001601BF" w:rsidRPr="00AD0C77" w:rsidRDefault="001601BF" w:rsidP="001601BF">
                      <w:pPr>
                        <w:spacing w:line="240" w:lineRule="auto"/>
                        <w:rPr>
                          <w:sz w:val="20"/>
                          <w:szCs w:val="20"/>
                        </w:rPr>
                      </w:pPr>
                      <w:r w:rsidRPr="00AD0C77">
                        <w:rPr>
                          <w:b/>
                          <w:bCs/>
                          <w:sz w:val="20"/>
                          <w:szCs w:val="20"/>
                        </w:rPr>
                        <w:t xml:space="preserve">Figure 2: </w:t>
                      </w:r>
                      <w:r w:rsidRPr="00AD0C77">
                        <w:rPr>
                          <w:sz w:val="20"/>
                          <w:szCs w:val="20"/>
                        </w:rPr>
                        <w:t xml:space="preserve">qRT-PCR analysis of cDNA from wild-type </w:t>
                      </w:r>
                      <w:r w:rsidRPr="00AD0C77">
                        <w:rPr>
                          <w:i/>
                          <w:iCs/>
                          <w:sz w:val="20"/>
                          <w:szCs w:val="20"/>
                        </w:rPr>
                        <w:t>F. tularensis</w:t>
                      </w:r>
                      <w:r w:rsidRPr="00AD0C77">
                        <w:rPr>
                          <w:sz w:val="20"/>
                          <w:szCs w:val="20"/>
                        </w:rPr>
                        <w:t xml:space="preserve"> samples, </w:t>
                      </w:r>
                      <w:r w:rsidRPr="00AD0C77">
                        <w:rPr>
                          <w:rFonts w:ascii="Calibri" w:hAnsi="Calibri" w:cs="Calibri"/>
                          <w:i/>
                          <w:iCs/>
                          <w:sz w:val="20"/>
                          <w:szCs w:val="20"/>
                        </w:rPr>
                        <w:t>Δ</w:t>
                      </w:r>
                      <w:r w:rsidRPr="00AD0C77">
                        <w:rPr>
                          <w:i/>
                          <w:iCs/>
                          <w:sz w:val="20"/>
                          <w:szCs w:val="20"/>
                        </w:rPr>
                        <w:t>rpsU2</w:t>
                      </w:r>
                      <w:r w:rsidRPr="00AD0C77">
                        <w:rPr>
                          <w:sz w:val="20"/>
                          <w:szCs w:val="20"/>
                        </w:rPr>
                        <w:t xml:space="preserve">, and </w:t>
                      </w:r>
                      <w:r w:rsidRPr="00AD0C77">
                        <w:rPr>
                          <w:rFonts w:ascii="Calibri" w:hAnsi="Calibri" w:cs="Calibri"/>
                          <w:i/>
                          <w:iCs/>
                          <w:sz w:val="20"/>
                          <w:szCs w:val="20"/>
                        </w:rPr>
                        <w:t>Δ</w:t>
                      </w:r>
                      <w:r w:rsidRPr="00AD0C77">
                        <w:rPr>
                          <w:i/>
                          <w:iCs/>
                          <w:sz w:val="20"/>
                          <w:szCs w:val="20"/>
                        </w:rPr>
                        <w:t>pigR</w:t>
                      </w:r>
                      <w:r w:rsidRPr="00AD0C77">
                        <w:rPr>
                          <w:sz w:val="20"/>
                          <w:szCs w:val="20"/>
                        </w:rPr>
                        <w:t xml:space="preserve">, in triplicate, normalized to </w:t>
                      </w:r>
                      <w:r w:rsidR="00715F41">
                        <w:rPr>
                          <w:i/>
                          <w:iCs/>
                          <w:sz w:val="20"/>
                          <w:szCs w:val="20"/>
                        </w:rPr>
                        <w:t>tul4</w:t>
                      </w:r>
                      <w:r w:rsidRPr="00AD0C77">
                        <w:rPr>
                          <w:sz w:val="20"/>
                          <w:szCs w:val="20"/>
                        </w:rPr>
                        <w:t xml:space="preserve"> transcript abundance.</w:t>
                      </w:r>
                      <w:r w:rsidR="009E64D1" w:rsidRPr="00AD0C77">
                        <w:rPr>
                          <w:sz w:val="20"/>
                          <w:szCs w:val="20"/>
                        </w:rPr>
                        <w:t xml:space="preserve"> </w:t>
                      </w:r>
                    </w:p>
                  </w:txbxContent>
                </v:textbox>
                <w10:wrap type="square" anchorx="margin"/>
              </v:shape>
            </w:pict>
          </mc:Fallback>
        </mc:AlternateContent>
      </w:r>
    </w:p>
    <w:p w14:paraId="47375A4C" w14:textId="59E18461" w:rsidR="0056002C" w:rsidRDefault="0056002C" w:rsidP="00963B11">
      <w:pPr>
        <w:pStyle w:val="Heading2"/>
        <w:rPr>
          <w:i/>
          <w:iCs/>
        </w:rPr>
      </w:pPr>
      <w:r>
        <w:t>2.5</w:t>
      </w:r>
      <w:r w:rsidR="00CA2CFE">
        <w:t>.</w:t>
      </w:r>
      <w:r w:rsidR="00611C3C">
        <w:t> </w:t>
      </w:r>
      <w:r>
        <w:t>Antibiotic</w:t>
      </w:r>
      <w:r w:rsidR="004C2D25">
        <w:t>-</w:t>
      </w:r>
      <w:r>
        <w:t>resistance i</w:t>
      </w:r>
      <w:r w:rsidR="004C2D25">
        <w:t>s an increasing problem in</w:t>
      </w:r>
      <w:r>
        <w:t xml:space="preserve"> </w:t>
      </w:r>
      <w:r w:rsidRPr="004C2D25">
        <w:rPr>
          <w:i/>
          <w:iCs/>
        </w:rPr>
        <w:t>S</w:t>
      </w:r>
      <w:r w:rsidR="004C2D25" w:rsidRPr="004C2D25">
        <w:rPr>
          <w:i/>
          <w:iCs/>
        </w:rPr>
        <w:t>.</w:t>
      </w:r>
      <w:r w:rsidRPr="004C2D25">
        <w:rPr>
          <w:i/>
          <w:iCs/>
        </w:rPr>
        <w:t xml:space="preserve"> aureus</w:t>
      </w:r>
    </w:p>
    <w:p w14:paraId="272E25DA" w14:textId="0AF6E806" w:rsidR="004C2D25" w:rsidRDefault="0078089D" w:rsidP="004C2D25">
      <w:r>
        <w:tab/>
      </w:r>
      <w:r>
        <w:rPr>
          <w:i/>
          <w:iCs/>
        </w:rPr>
        <w:t>S. aureus</w:t>
      </w:r>
      <w:r>
        <w:t xml:space="preserve"> is most notorious and problematic because of its </w:t>
      </w:r>
      <w:r w:rsidR="00F62E9E">
        <w:t>unique</w:t>
      </w:r>
      <w:r>
        <w:t xml:space="preserve"> ability to acquire resistance to any and every antibiotic. In fact, the attempt to treat </w:t>
      </w:r>
      <w:r>
        <w:rPr>
          <w:i/>
          <w:iCs/>
        </w:rPr>
        <w:t>Staph</w:t>
      </w:r>
      <w:r>
        <w:t xml:space="preserve"> infections has led to the discovery or clinical adaptation of a number of antibiotics, from penicillin to methicillin to vancomycin (Chambers and Deleo). Each of these antibiotics ha</w:t>
      </w:r>
      <w:r w:rsidR="003572B8">
        <w:t>s</w:t>
      </w:r>
      <w:r>
        <w:t xml:space="preserve"> eventually become </w:t>
      </w:r>
      <w:r w:rsidR="003572B8">
        <w:t>insufficient</w:t>
      </w:r>
      <w:r>
        <w:t xml:space="preserve"> in the treatment of </w:t>
      </w:r>
      <w:r>
        <w:rPr>
          <w:i/>
          <w:iCs/>
        </w:rPr>
        <w:t>S. aureus</w:t>
      </w:r>
      <w:r>
        <w:t xml:space="preserve"> as resistant strains </w:t>
      </w:r>
      <w:r w:rsidR="005A387F">
        <w:t xml:space="preserve">continually </w:t>
      </w:r>
      <w:r>
        <w:t xml:space="preserve">emerge, including methicillin-resistant </w:t>
      </w:r>
      <w:r>
        <w:rPr>
          <w:i/>
          <w:iCs/>
        </w:rPr>
        <w:t xml:space="preserve">S. aureus </w:t>
      </w:r>
      <w:r>
        <w:t xml:space="preserve">(MRSA) and vancomycin-resistant </w:t>
      </w:r>
      <w:r>
        <w:rPr>
          <w:i/>
          <w:iCs/>
        </w:rPr>
        <w:t xml:space="preserve">S. aureus </w:t>
      </w:r>
      <w:r>
        <w:t>(</w:t>
      </w:r>
      <w:r w:rsidR="009F1CE4">
        <w:t xml:space="preserve">VRSA, </w:t>
      </w:r>
      <w:r>
        <w:t xml:space="preserve">Chambers and Deleo). </w:t>
      </w:r>
      <w:r w:rsidR="00C041C5">
        <w:t xml:space="preserve">While vancomycin continues to be the preferred treatment option for most </w:t>
      </w:r>
      <w:r w:rsidR="00C041C5">
        <w:rPr>
          <w:i/>
          <w:iCs/>
        </w:rPr>
        <w:t xml:space="preserve">S. aureus </w:t>
      </w:r>
      <w:r w:rsidR="00C041C5">
        <w:t xml:space="preserve">infections, higher concentrations are required and have negative side-effects on patients (Holland). Vancomycin functions by </w:t>
      </w:r>
      <w:r w:rsidR="00EA0601">
        <w:t>forming hydrogen bonds with D-ala-D-ala peptides, thereby blocking synthesis of peptidoglycan in the cell walls (Williams and bardsley)</w:t>
      </w:r>
      <w:r w:rsidR="00631294">
        <w:t xml:space="preserve">. </w:t>
      </w:r>
      <w:r w:rsidR="00C041C5">
        <w:t>Daptomycin is a</w:t>
      </w:r>
      <w:r w:rsidR="00631294">
        <w:t xml:space="preserve">n </w:t>
      </w:r>
      <w:r w:rsidR="00C041C5">
        <w:t>alternative antibiotic treatment</w:t>
      </w:r>
      <w:r w:rsidR="00631294">
        <w:t>, most often used in vancomycin-resistant strains, that functions to kill Gram-positive bacteria by binding to the cell membrane, obstructing its electrical potential (daptomycin review).</w:t>
      </w:r>
      <w:r w:rsidR="0045733E">
        <w:t xml:space="preserve"> Because this bacterium continues to gain antibiotic resistance regardless of what antibiotic is used, it is more necessary than ever to understand how antibiotic resistance is acquired and regulated. The fact that mutations in </w:t>
      </w:r>
      <w:r w:rsidR="0045733E">
        <w:rPr>
          <w:i/>
          <w:iCs/>
        </w:rPr>
        <w:t>rpsU</w:t>
      </w:r>
      <w:r w:rsidR="0045733E">
        <w:t xml:space="preserve"> lead to changes in antibiotic-sensitivity for two of the leading antibiotics</w:t>
      </w:r>
      <w:r w:rsidR="0078183E">
        <w:t>, both of which target the cell wall,</w:t>
      </w:r>
      <w:r w:rsidR="0045733E">
        <w:t xml:space="preserve"> </w:t>
      </w:r>
      <w:r w:rsidR="0078183E">
        <w:t>bS21 may play a crucial role in regulating cell-wall composition and stability.</w:t>
      </w:r>
      <w:r w:rsidR="00036EEF">
        <w:t xml:space="preserve"> </w:t>
      </w:r>
      <w:r w:rsidR="00036EEF" w:rsidRPr="00036EEF">
        <w:rPr>
          <w:highlight w:val="yellow"/>
        </w:rPr>
        <w:t>Do you think I should move the few sentences about transposon-library and specific details of how rpsU m</w:t>
      </w:r>
      <w:r w:rsidR="0078183E">
        <w:rPr>
          <w:highlight w:val="yellow"/>
        </w:rPr>
        <w:t>ut</w:t>
      </w:r>
      <w:r w:rsidR="00036EEF" w:rsidRPr="00036EEF">
        <w:rPr>
          <w:highlight w:val="yellow"/>
        </w:rPr>
        <w:t>ations were detect</w:t>
      </w:r>
      <w:r w:rsidR="00036EEF">
        <w:rPr>
          <w:highlight w:val="yellow"/>
        </w:rPr>
        <w:t>ed</w:t>
      </w:r>
      <w:r w:rsidR="00036EEF" w:rsidRPr="00036EEF">
        <w:rPr>
          <w:highlight w:val="yellow"/>
        </w:rPr>
        <w:t xml:space="preserve"> to here, rather than section 2.3.2</w:t>
      </w:r>
      <w:r w:rsidR="00036EEF">
        <w:t xml:space="preserve">? The proposed study </w:t>
      </w:r>
      <w:r w:rsidR="00A611E0">
        <w:t>focuses on understanding the effect of bS21 by</w:t>
      </w:r>
      <w:r w:rsidR="00036EEF">
        <w:t xml:space="preserve"> </w:t>
      </w:r>
      <w:r w:rsidR="0064279D">
        <w:t>deleting</w:t>
      </w:r>
      <w:r w:rsidR="00036EEF">
        <w:t xml:space="preserve"> </w:t>
      </w:r>
      <w:r w:rsidR="00036EEF">
        <w:rPr>
          <w:i/>
          <w:iCs/>
        </w:rPr>
        <w:t>rpsU</w:t>
      </w:r>
      <w:r w:rsidR="00036EEF">
        <w:t>, assess</w:t>
      </w:r>
      <w:r w:rsidR="00A611E0">
        <w:t>ing</w:t>
      </w:r>
      <w:r w:rsidR="00036EEF">
        <w:t xml:space="preserve"> impacts on antibiotic-susceptibility for both vancomycin and daptomycin, and determin</w:t>
      </w:r>
      <w:r w:rsidR="00A611E0">
        <w:t>ing</w:t>
      </w:r>
      <w:r w:rsidR="00036EEF">
        <w:t xml:space="preserve"> the mechanism by which bS21 acts through analysis of cell wall size</w:t>
      </w:r>
      <w:r w:rsidR="009D21CA">
        <w:t>.</w:t>
      </w:r>
    </w:p>
    <w:p w14:paraId="41A25910" w14:textId="77777777" w:rsidR="00FC631C" w:rsidRPr="0046580E" w:rsidRDefault="00FC631C" w:rsidP="0046580E">
      <w:pPr>
        <w:rPr>
          <w:rFonts w:cs="Times New Roman"/>
          <w:szCs w:val="24"/>
        </w:rPr>
      </w:pPr>
    </w:p>
    <w:p w14:paraId="24939A70" w14:textId="77777777" w:rsidR="00614A09" w:rsidRPr="00614A09" w:rsidRDefault="00614A09" w:rsidP="0076738A"/>
    <w:sectPr w:rsidR="00614A09" w:rsidRPr="00614A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FB3"/>
    <w:rsid w:val="00007E7F"/>
    <w:rsid w:val="00014C98"/>
    <w:rsid w:val="000221E9"/>
    <w:rsid w:val="00024836"/>
    <w:rsid w:val="00036EEF"/>
    <w:rsid w:val="00042B2E"/>
    <w:rsid w:val="00045C8D"/>
    <w:rsid w:val="00046D29"/>
    <w:rsid w:val="000527BE"/>
    <w:rsid w:val="0005321A"/>
    <w:rsid w:val="000709DB"/>
    <w:rsid w:val="00082CDE"/>
    <w:rsid w:val="000A3BD0"/>
    <w:rsid w:val="000B23C6"/>
    <w:rsid w:val="000C048B"/>
    <w:rsid w:val="000D4BBF"/>
    <w:rsid w:val="000E78EF"/>
    <w:rsid w:val="000F27D9"/>
    <w:rsid w:val="000F345F"/>
    <w:rsid w:val="00104584"/>
    <w:rsid w:val="001601BF"/>
    <w:rsid w:val="00174D34"/>
    <w:rsid w:val="00180BC2"/>
    <w:rsid w:val="00182AA5"/>
    <w:rsid w:val="0018364A"/>
    <w:rsid w:val="00195932"/>
    <w:rsid w:val="001A11F9"/>
    <w:rsid w:val="001B6E1C"/>
    <w:rsid w:val="001C546C"/>
    <w:rsid w:val="001D4A83"/>
    <w:rsid w:val="001F0F90"/>
    <w:rsid w:val="00203897"/>
    <w:rsid w:val="00222E90"/>
    <w:rsid w:val="0024001E"/>
    <w:rsid w:val="00243EB3"/>
    <w:rsid w:val="0024618C"/>
    <w:rsid w:val="00253968"/>
    <w:rsid w:val="002672FB"/>
    <w:rsid w:val="00287CA8"/>
    <w:rsid w:val="00290E15"/>
    <w:rsid w:val="002A7242"/>
    <w:rsid w:val="002B7A11"/>
    <w:rsid w:val="002C25EF"/>
    <w:rsid w:val="002C293D"/>
    <w:rsid w:val="002D0294"/>
    <w:rsid w:val="002D32DE"/>
    <w:rsid w:val="002E62BD"/>
    <w:rsid w:val="002F4C6D"/>
    <w:rsid w:val="002F5668"/>
    <w:rsid w:val="00321342"/>
    <w:rsid w:val="00326052"/>
    <w:rsid w:val="00343E6F"/>
    <w:rsid w:val="003572B8"/>
    <w:rsid w:val="00374BCE"/>
    <w:rsid w:val="003964C1"/>
    <w:rsid w:val="003A6BDA"/>
    <w:rsid w:val="003B7618"/>
    <w:rsid w:val="003D66AA"/>
    <w:rsid w:val="003E6090"/>
    <w:rsid w:val="003F239C"/>
    <w:rsid w:val="00406BE7"/>
    <w:rsid w:val="004126CC"/>
    <w:rsid w:val="00425FF0"/>
    <w:rsid w:val="00426E5E"/>
    <w:rsid w:val="0043687B"/>
    <w:rsid w:val="00451538"/>
    <w:rsid w:val="0045733E"/>
    <w:rsid w:val="00464CC1"/>
    <w:rsid w:val="0046580E"/>
    <w:rsid w:val="0048282A"/>
    <w:rsid w:val="004B1A0B"/>
    <w:rsid w:val="004B464A"/>
    <w:rsid w:val="004B6159"/>
    <w:rsid w:val="004B6A37"/>
    <w:rsid w:val="004C23DA"/>
    <w:rsid w:val="004C2D25"/>
    <w:rsid w:val="004C54CD"/>
    <w:rsid w:val="004E000C"/>
    <w:rsid w:val="004E1A86"/>
    <w:rsid w:val="00500277"/>
    <w:rsid w:val="005037A3"/>
    <w:rsid w:val="0053794F"/>
    <w:rsid w:val="0056002C"/>
    <w:rsid w:val="00560ABC"/>
    <w:rsid w:val="00581B4B"/>
    <w:rsid w:val="00583148"/>
    <w:rsid w:val="00590F88"/>
    <w:rsid w:val="005910F0"/>
    <w:rsid w:val="005A2CC6"/>
    <w:rsid w:val="005A387F"/>
    <w:rsid w:val="005B3AD2"/>
    <w:rsid w:val="005C3525"/>
    <w:rsid w:val="005C7A37"/>
    <w:rsid w:val="005D080F"/>
    <w:rsid w:val="005D1715"/>
    <w:rsid w:val="005D7075"/>
    <w:rsid w:val="005E413A"/>
    <w:rsid w:val="005E6EEC"/>
    <w:rsid w:val="00602260"/>
    <w:rsid w:val="00611C3C"/>
    <w:rsid w:val="00612DB1"/>
    <w:rsid w:val="00614A09"/>
    <w:rsid w:val="0061799E"/>
    <w:rsid w:val="00617C5D"/>
    <w:rsid w:val="00623618"/>
    <w:rsid w:val="0063089C"/>
    <w:rsid w:val="00631294"/>
    <w:rsid w:val="0064247E"/>
    <w:rsid w:val="00642781"/>
    <w:rsid w:val="0064279D"/>
    <w:rsid w:val="006507C5"/>
    <w:rsid w:val="006765CD"/>
    <w:rsid w:val="0069793A"/>
    <w:rsid w:val="006A3E58"/>
    <w:rsid w:val="006C1567"/>
    <w:rsid w:val="006D3A36"/>
    <w:rsid w:val="006D6360"/>
    <w:rsid w:val="006E1C88"/>
    <w:rsid w:val="006E5F97"/>
    <w:rsid w:val="006F07E5"/>
    <w:rsid w:val="006F6434"/>
    <w:rsid w:val="0070464D"/>
    <w:rsid w:val="00715F41"/>
    <w:rsid w:val="00741975"/>
    <w:rsid w:val="00742374"/>
    <w:rsid w:val="007453BD"/>
    <w:rsid w:val="007469B3"/>
    <w:rsid w:val="00755AB6"/>
    <w:rsid w:val="00762D7F"/>
    <w:rsid w:val="007670C7"/>
    <w:rsid w:val="0076738A"/>
    <w:rsid w:val="0078089D"/>
    <w:rsid w:val="0078183E"/>
    <w:rsid w:val="007818AE"/>
    <w:rsid w:val="007A4580"/>
    <w:rsid w:val="007A5B69"/>
    <w:rsid w:val="007B3DC0"/>
    <w:rsid w:val="007B5B5E"/>
    <w:rsid w:val="007D2561"/>
    <w:rsid w:val="007D5CBF"/>
    <w:rsid w:val="007F211F"/>
    <w:rsid w:val="0082152A"/>
    <w:rsid w:val="00851400"/>
    <w:rsid w:val="008708B5"/>
    <w:rsid w:val="00882677"/>
    <w:rsid w:val="008B7091"/>
    <w:rsid w:val="008C1237"/>
    <w:rsid w:val="008D3A6A"/>
    <w:rsid w:val="008D70C5"/>
    <w:rsid w:val="008F5AAB"/>
    <w:rsid w:val="00901259"/>
    <w:rsid w:val="009049B4"/>
    <w:rsid w:val="00963B11"/>
    <w:rsid w:val="00970E4C"/>
    <w:rsid w:val="009A1FEC"/>
    <w:rsid w:val="009A7056"/>
    <w:rsid w:val="009D21CA"/>
    <w:rsid w:val="009D3D72"/>
    <w:rsid w:val="009D69CB"/>
    <w:rsid w:val="009E538D"/>
    <w:rsid w:val="009E64D1"/>
    <w:rsid w:val="009F1CE4"/>
    <w:rsid w:val="00A1753B"/>
    <w:rsid w:val="00A305A4"/>
    <w:rsid w:val="00A35B10"/>
    <w:rsid w:val="00A36310"/>
    <w:rsid w:val="00A45F46"/>
    <w:rsid w:val="00A5667B"/>
    <w:rsid w:val="00A56ED6"/>
    <w:rsid w:val="00A611E0"/>
    <w:rsid w:val="00A61BFB"/>
    <w:rsid w:val="00A70BB3"/>
    <w:rsid w:val="00A74233"/>
    <w:rsid w:val="00A866B8"/>
    <w:rsid w:val="00A94090"/>
    <w:rsid w:val="00AB2F8E"/>
    <w:rsid w:val="00AB33BB"/>
    <w:rsid w:val="00AB4180"/>
    <w:rsid w:val="00AC214E"/>
    <w:rsid w:val="00AD0C77"/>
    <w:rsid w:val="00AD1448"/>
    <w:rsid w:val="00AE090E"/>
    <w:rsid w:val="00AE2255"/>
    <w:rsid w:val="00AF1594"/>
    <w:rsid w:val="00AF4928"/>
    <w:rsid w:val="00B01333"/>
    <w:rsid w:val="00B02837"/>
    <w:rsid w:val="00B11340"/>
    <w:rsid w:val="00B13C47"/>
    <w:rsid w:val="00B161F9"/>
    <w:rsid w:val="00B17380"/>
    <w:rsid w:val="00B33E6C"/>
    <w:rsid w:val="00B35D4F"/>
    <w:rsid w:val="00B406A9"/>
    <w:rsid w:val="00B46FEE"/>
    <w:rsid w:val="00B619C6"/>
    <w:rsid w:val="00B64EB2"/>
    <w:rsid w:val="00B7638D"/>
    <w:rsid w:val="00BA5E92"/>
    <w:rsid w:val="00BB3C38"/>
    <w:rsid w:val="00BB5E47"/>
    <w:rsid w:val="00BD041A"/>
    <w:rsid w:val="00BD56D0"/>
    <w:rsid w:val="00C01E87"/>
    <w:rsid w:val="00C041C5"/>
    <w:rsid w:val="00C2585C"/>
    <w:rsid w:val="00C43238"/>
    <w:rsid w:val="00C4524D"/>
    <w:rsid w:val="00C5279A"/>
    <w:rsid w:val="00C62A24"/>
    <w:rsid w:val="00C76EB2"/>
    <w:rsid w:val="00C8084C"/>
    <w:rsid w:val="00C818F9"/>
    <w:rsid w:val="00C82977"/>
    <w:rsid w:val="00C87D9E"/>
    <w:rsid w:val="00CA2CFE"/>
    <w:rsid w:val="00CA3D32"/>
    <w:rsid w:val="00CB4DC5"/>
    <w:rsid w:val="00CC0E76"/>
    <w:rsid w:val="00CC0E92"/>
    <w:rsid w:val="00CE19E5"/>
    <w:rsid w:val="00CE4435"/>
    <w:rsid w:val="00D22306"/>
    <w:rsid w:val="00D24829"/>
    <w:rsid w:val="00D24FAC"/>
    <w:rsid w:val="00D3124B"/>
    <w:rsid w:val="00D3303F"/>
    <w:rsid w:val="00D753C6"/>
    <w:rsid w:val="00D77517"/>
    <w:rsid w:val="00D86D46"/>
    <w:rsid w:val="00D91DE2"/>
    <w:rsid w:val="00D9275B"/>
    <w:rsid w:val="00DA11AF"/>
    <w:rsid w:val="00DA1790"/>
    <w:rsid w:val="00DA1F6B"/>
    <w:rsid w:val="00DA439E"/>
    <w:rsid w:val="00DC13A1"/>
    <w:rsid w:val="00DE0738"/>
    <w:rsid w:val="00DE76BD"/>
    <w:rsid w:val="00E032CE"/>
    <w:rsid w:val="00E236CA"/>
    <w:rsid w:val="00E416EF"/>
    <w:rsid w:val="00E51AB1"/>
    <w:rsid w:val="00E53B32"/>
    <w:rsid w:val="00E665BF"/>
    <w:rsid w:val="00E7374E"/>
    <w:rsid w:val="00E74B71"/>
    <w:rsid w:val="00E84E53"/>
    <w:rsid w:val="00E85F62"/>
    <w:rsid w:val="00EA0601"/>
    <w:rsid w:val="00EA13E7"/>
    <w:rsid w:val="00EA301A"/>
    <w:rsid w:val="00EB3AE8"/>
    <w:rsid w:val="00EB6409"/>
    <w:rsid w:val="00EC60CE"/>
    <w:rsid w:val="00ED0661"/>
    <w:rsid w:val="00EE21A0"/>
    <w:rsid w:val="00EE4A36"/>
    <w:rsid w:val="00F0272B"/>
    <w:rsid w:val="00F25CED"/>
    <w:rsid w:val="00F42045"/>
    <w:rsid w:val="00F62E9E"/>
    <w:rsid w:val="00F67226"/>
    <w:rsid w:val="00F73967"/>
    <w:rsid w:val="00F8416E"/>
    <w:rsid w:val="00F85D36"/>
    <w:rsid w:val="00F90EBF"/>
    <w:rsid w:val="00FB2CA9"/>
    <w:rsid w:val="00FC4041"/>
    <w:rsid w:val="00FC631C"/>
    <w:rsid w:val="00FD1767"/>
    <w:rsid w:val="00FD636E"/>
    <w:rsid w:val="00FE0336"/>
    <w:rsid w:val="00FF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pn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G:\Shared%20drives\KRamsey%20Lab\Hannah%20Trautmann\Data\qPCR\200203_HT_qPCR_cDN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Graph!$A$3</c:f>
              <c:strCache>
                <c:ptCount val="1"/>
                <c:pt idx="0">
                  <c:v>LVS</c:v>
                </c:pt>
              </c:strCache>
            </c:strRef>
          </c:tx>
          <c:spPr>
            <a:solidFill>
              <a:schemeClr val="bg1">
                <a:lumMod val="65000"/>
              </a:schemeClr>
            </a:solidFill>
            <a:ln>
              <a:noFill/>
            </a:ln>
            <a:effectLst/>
          </c:spPr>
          <c:invertIfNegative val="0"/>
          <c:errBars>
            <c:errBarType val="both"/>
            <c:errValType val="cust"/>
            <c:noEndCap val="0"/>
            <c:plus>
              <c:numRef>
                <c:f>(Graph!$C$3,Graph!$F$3,Graph!$I$3,Graph!$L$3,Graph!$O$3,Graph!$R$3,Graph!$U$3)</c:f>
                <c:numCache>
                  <c:formatCode>General</c:formatCode>
                  <c:ptCount val="6"/>
                  <c:pt idx="0">
                    <c:v>0.12306430698053272</c:v>
                  </c:pt>
                  <c:pt idx="1">
                    <c:v>0.10573681598761397</c:v>
                  </c:pt>
                  <c:pt idx="2">
                    <c:v>4.8817029361505782E-2</c:v>
                  </c:pt>
                  <c:pt idx="3">
                    <c:v>1.4014545162597036E-2</c:v>
                  </c:pt>
                  <c:pt idx="4">
                    <c:v>5.8200921987877741E-2</c:v>
                  </c:pt>
                  <c:pt idx="5">
                    <c:v>0.10178304777317182</c:v>
                  </c:pt>
                </c:numCache>
              </c:numRef>
            </c:plus>
            <c:minus>
              <c:numRef>
                <c:f>(Graph!$D$3,Graph!$G$3,Graph!$J$3,Graph!$M$3,Graph!$P$3,Graph!$S$3,Graph!$V$3)</c:f>
                <c:numCache>
                  <c:formatCode>General</c:formatCode>
                  <c:ptCount val="6"/>
                  <c:pt idx="0">
                    <c:v>0.14033447145570888</c:v>
                  </c:pt>
                  <c:pt idx="1">
                    <c:v>0.11823903508270717</c:v>
                  </c:pt>
                  <c:pt idx="2">
                    <c:v>5.1322438340897447E-2</c:v>
                  </c:pt>
                  <c:pt idx="3">
                    <c:v>1.42137443243604E-2</c:v>
                  </c:pt>
                  <c:pt idx="4">
                    <c:v>6.1797599240300594E-2</c:v>
                  </c:pt>
                  <c:pt idx="5">
                    <c:v>0.11331677443944344</c:v>
                  </c:pt>
                </c:numCache>
              </c:numRef>
            </c:minus>
            <c:spPr>
              <a:noFill/>
              <a:ln w="9525" cap="flat" cmpd="sng" algn="ctr">
                <a:solidFill>
                  <a:schemeClr val="tx1">
                    <a:lumMod val="65000"/>
                    <a:lumOff val="35000"/>
                  </a:schemeClr>
                </a:solidFill>
                <a:round/>
              </a:ln>
              <a:effectLst/>
            </c:spPr>
          </c:errBars>
          <c:cat>
            <c:strRef>
              <c:f>(Graph!$B$1:$B$2,Graph!$E$1:$E$2,Graph!$H$1:$H$2,Graph!$K$1:$K$2,Graph!$N$1:$N$2,Graph!$Q$1:$Q$2,Graph!$T$1:$T$2)</c:f>
              <c:strCache>
                <c:ptCount val="6"/>
                <c:pt idx="0">
                  <c:v>pdpA</c:v>
                </c:pt>
                <c:pt idx="1">
                  <c:v>pdpB</c:v>
                </c:pt>
                <c:pt idx="2">
                  <c:v>iglA</c:v>
                </c:pt>
                <c:pt idx="3">
                  <c:v>pigR</c:v>
                </c:pt>
                <c:pt idx="4">
                  <c:v>rpoA1</c:v>
                </c:pt>
                <c:pt idx="5">
                  <c:v>bfr</c:v>
                </c:pt>
              </c:strCache>
            </c:strRef>
          </c:cat>
          <c:val>
            <c:numRef>
              <c:f>(Graph!$B$3,Graph!$E$3,Graph!$H$3,Graph!$K$3,Graph!$N$3,Graph!$Q$3,Graph!$T$3)</c:f>
              <c:numCache>
                <c:formatCode>General</c:formatCode>
                <c:ptCount val="6"/>
                <c:pt idx="0">
                  <c:v>1</c:v>
                </c:pt>
                <c:pt idx="1">
                  <c:v>1</c:v>
                </c:pt>
                <c:pt idx="2">
                  <c:v>1</c:v>
                </c:pt>
                <c:pt idx="3">
                  <c:v>1</c:v>
                </c:pt>
                <c:pt idx="4">
                  <c:v>1</c:v>
                </c:pt>
                <c:pt idx="5">
                  <c:v>1</c:v>
                </c:pt>
              </c:numCache>
            </c:numRef>
          </c:val>
          <c:extLst>
            <c:ext xmlns:c16="http://schemas.microsoft.com/office/drawing/2014/chart" uri="{C3380CC4-5D6E-409C-BE32-E72D297353CC}">
              <c16:uniqueId val="{00000000-AC81-4F5E-8ED5-ABADC2DB075C}"/>
            </c:ext>
          </c:extLst>
        </c:ser>
        <c:ser>
          <c:idx val="1"/>
          <c:order val="1"/>
          <c:tx>
            <c:strRef>
              <c:f>Graph!$A$4</c:f>
              <c:strCache>
                <c:ptCount val="1"/>
                <c:pt idx="0">
                  <c:v>LVS ∆rpsU2</c:v>
                </c:pt>
              </c:strCache>
            </c:strRef>
          </c:tx>
          <c:spPr>
            <a:solidFill>
              <a:srgbClr val="FF0000"/>
            </a:solidFill>
            <a:ln>
              <a:noFill/>
            </a:ln>
            <a:effectLst/>
          </c:spPr>
          <c:invertIfNegative val="0"/>
          <c:errBars>
            <c:errBarType val="both"/>
            <c:errValType val="cust"/>
            <c:noEndCap val="0"/>
            <c:plus>
              <c:numRef>
                <c:f>(Graph!$C$4,Graph!$F$4,Graph!$I$4,Graph!$L$4,Graph!$O$4,Graph!$R$4,Graph!$U$4)</c:f>
                <c:numCache>
                  <c:formatCode>General</c:formatCode>
                  <c:ptCount val="6"/>
                  <c:pt idx="0">
                    <c:v>0.15912229356377006</c:v>
                  </c:pt>
                  <c:pt idx="1">
                    <c:v>8.3224752356261811E-2</c:v>
                  </c:pt>
                  <c:pt idx="2">
                    <c:v>2.8941914050329975E-2</c:v>
                  </c:pt>
                  <c:pt idx="3">
                    <c:v>1.8609456354539144E-2</c:v>
                  </c:pt>
                  <c:pt idx="4">
                    <c:v>5.2945020370730012E-2</c:v>
                  </c:pt>
                  <c:pt idx="5">
                    <c:v>9.3800829532899366E-2</c:v>
                  </c:pt>
                </c:numCache>
              </c:numRef>
            </c:plus>
            <c:minus>
              <c:numRef>
                <c:f>(Graph!$D$4,Graph!$G$4,Graph!$J$4,Graph!$M$4,Graph!$P$4,Graph!$S$4,Graph!$V$4)</c:f>
                <c:numCache>
                  <c:formatCode>General</c:formatCode>
                  <c:ptCount val="6"/>
                  <c:pt idx="0">
                    <c:v>0.18779873768457778</c:v>
                  </c:pt>
                  <c:pt idx="1">
                    <c:v>9.2670941111932748E-2</c:v>
                  </c:pt>
                  <c:pt idx="2">
                    <c:v>2.9998689235891773E-2</c:v>
                  </c:pt>
                  <c:pt idx="3">
                    <c:v>1.8885894053960461E-2</c:v>
                  </c:pt>
                  <c:pt idx="4">
                    <c:v>5.556227614548126E-2</c:v>
                  </c:pt>
                  <c:pt idx="5">
                    <c:v>0.1026142446418945</c:v>
                  </c:pt>
                </c:numCache>
              </c:numRef>
            </c:minus>
            <c:spPr>
              <a:noFill/>
              <a:ln w="9525" cap="flat" cmpd="sng" algn="ctr">
                <a:solidFill>
                  <a:schemeClr val="tx1">
                    <a:lumMod val="65000"/>
                    <a:lumOff val="35000"/>
                  </a:schemeClr>
                </a:solidFill>
                <a:round/>
              </a:ln>
              <a:effectLst/>
            </c:spPr>
          </c:errBars>
          <c:cat>
            <c:strRef>
              <c:f>(Graph!$B$1:$B$2,Graph!$E$1:$E$2,Graph!$H$1:$H$2,Graph!$K$1:$K$2,Graph!$N$1:$N$2,Graph!$Q$1:$Q$2,Graph!$T$1:$T$2)</c:f>
              <c:strCache>
                <c:ptCount val="6"/>
                <c:pt idx="0">
                  <c:v>pdpA</c:v>
                </c:pt>
                <c:pt idx="1">
                  <c:v>pdpB</c:v>
                </c:pt>
                <c:pt idx="2">
                  <c:v>iglA</c:v>
                </c:pt>
                <c:pt idx="3">
                  <c:v>pigR</c:v>
                </c:pt>
                <c:pt idx="4">
                  <c:v>rpoA1</c:v>
                </c:pt>
                <c:pt idx="5">
                  <c:v>bfr</c:v>
                </c:pt>
              </c:strCache>
            </c:strRef>
          </c:cat>
          <c:val>
            <c:numRef>
              <c:f>(Graph!$B$4,Graph!$E$4,Graph!$H$4,Graph!$K$4,Graph!$N$4,Graph!$Q$4,Graph!$T$4)</c:f>
              <c:numCache>
                <c:formatCode>General</c:formatCode>
                <c:ptCount val="6"/>
                <c:pt idx="0">
                  <c:v>1.0420736177351939</c:v>
                </c:pt>
                <c:pt idx="1">
                  <c:v>0.8164685593470008</c:v>
                </c:pt>
                <c:pt idx="2">
                  <c:v>0.82157444397803114</c:v>
                </c:pt>
                <c:pt idx="3">
                  <c:v>1.2713758718487724</c:v>
                </c:pt>
                <c:pt idx="4">
                  <c:v>1.1239810303392395</c:v>
                </c:pt>
                <c:pt idx="5">
                  <c:v>1.092119360119312</c:v>
                </c:pt>
              </c:numCache>
            </c:numRef>
          </c:val>
          <c:extLst>
            <c:ext xmlns:c16="http://schemas.microsoft.com/office/drawing/2014/chart" uri="{C3380CC4-5D6E-409C-BE32-E72D297353CC}">
              <c16:uniqueId val="{00000001-AC81-4F5E-8ED5-ABADC2DB075C}"/>
            </c:ext>
          </c:extLst>
        </c:ser>
        <c:ser>
          <c:idx val="2"/>
          <c:order val="2"/>
          <c:tx>
            <c:strRef>
              <c:f>Graph!$A$5</c:f>
              <c:strCache>
                <c:ptCount val="1"/>
                <c:pt idx="0">
                  <c:v>LVS ∆pigR</c:v>
                </c:pt>
              </c:strCache>
            </c:strRef>
          </c:tx>
          <c:spPr>
            <a:solidFill>
              <a:schemeClr val="accent1"/>
            </a:solidFill>
            <a:ln>
              <a:noFill/>
            </a:ln>
            <a:effectLst/>
          </c:spPr>
          <c:invertIfNegative val="0"/>
          <c:errBars>
            <c:errBarType val="both"/>
            <c:errValType val="cust"/>
            <c:noEndCap val="0"/>
            <c:plus>
              <c:numRef>
                <c:f>(Graph!$C$5,Graph!$F$5,Graph!$I$5,Graph!$L$5,Graph!$O$5,Graph!$R$5,Graph!$U$5)</c:f>
                <c:numCache>
                  <c:formatCode>General</c:formatCode>
                  <c:ptCount val="6"/>
                  <c:pt idx="0">
                    <c:v>1.0405615591282044E-2</c:v>
                  </c:pt>
                  <c:pt idx="1">
                    <c:v>1.0143165044251237E-2</c:v>
                  </c:pt>
                  <c:pt idx="2">
                    <c:v>8.3817715809556687E-3</c:v>
                  </c:pt>
                  <c:pt idx="3">
                    <c:v>7.0256630377787553E-6</c:v>
                  </c:pt>
                  <c:pt idx="4">
                    <c:v>3.9880139528593928E-2</c:v>
                  </c:pt>
                  <c:pt idx="5">
                    <c:v>0.14599370881808849</c:v>
                  </c:pt>
                </c:numCache>
              </c:numRef>
            </c:plus>
            <c:minus>
              <c:numRef>
                <c:f>(Graph!$D$5,Graph!$G$5,Graph!$J$5,Graph!$M$5,Graph!$P$5,Graph!$S$5,Graph!$V$5)</c:f>
                <c:numCache>
                  <c:formatCode>General</c:formatCode>
                  <c:ptCount val="6"/>
                  <c:pt idx="0">
                    <c:v>1.1593667619451936E-2</c:v>
                  </c:pt>
                  <c:pt idx="1">
                    <c:v>1.0982717990342283E-2</c:v>
                  </c:pt>
                  <c:pt idx="2">
                    <c:v>9.6478587932832954E-3</c:v>
                  </c:pt>
                  <c:pt idx="3">
                    <c:v>7.3875057104736081E-6</c:v>
                  </c:pt>
                  <c:pt idx="4">
                    <c:v>4.1686902576164808E-2</c:v>
                  </c:pt>
                  <c:pt idx="5">
                    <c:v>0.17578065925719288</c:v>
                  </c:pt>
                </c:numCache>
              </c:numRef>
            </c:minus>
            <c:spPr>
              <a:noFill/>
              <a:ln w="9525" cap="flat" cmpd="sng" algn="ctr">
                <a:solidFill>
                  <a:schemeClr val="tx1">
                    <a:lumMod val="65000"/>
                    <a:lumOff val="35000"/>
                  </a:schemeClr>
                </a:solidFill>
                <a:round/>
              </a:ln>
              <a:effectLst/>
            </c:spPr>
          </c:errBars>
          <c:cat>
            <c:strRef>
              <c:f>(Graph!$B$1:$B$2,Graph!$E$1:$E$2,Graph!$H$1:$H$2,Graph!$K$1:$K$2,Graph!$N$1:$N$2,Graph!$Q$1:$Q$2,Graph!$T$1:$T$2)</c:f>
              <c:strCache>
                <c:ptCount val="6"/>
                <c:pt idx="0">
                  <c:v>pdpA</c:v>
                </c:pt>
                <c:pt idx="1">
                  <c:v>pdpB</c:v>
                </c:pt>
                <c:pt idx="2">
                  <c:v>iglA</c:v>
                </c:pt>
                <c:pt idx="3">
                  <c:v>pigR</c:v>
                </c:pt>
                <c:pt idx="4">
                  <c:v>rpoA1</c:v>
                </c:pt>
                <c:pt idx="5">
                  <c:v>bfr</c:v>
                </c:pt>
              </c:strCache>
            </c:strRef>
          </c:cat>
          <c:val>
            <c:numRef>
              <c:f>(Graph!$B$5,Graph!$E$5,Graph!$H$5,Graph!$K$5,Graph!$N$5,Graph!$Q$5,Graph!$T$5)</c:f>
              <c:numCache>
                <c:formatCode>General</c:formatCode>
                <c:ptCount val="6"/>
                <c:pt idx="0">
                  <c:v>0.10154374192428796</c:v>
                </c:pt>
                <c:pt idx="1">
                  <c:v>0.13268909570168966</c:v>
                </c:pt>
                <c:pt idx="2">
                  <c:v>6.387091494427935E-2</c:v>
                </c:pt>
                <c:pt idx="3">
                  <c:v>1.43438377306107E-4</c:v>
                </c:pt>
                <c:pt idx="4">
                  <c:v>0.92014251314680739</c:v>
                </c:pt>
                <c:pt idx="5">
                  <c:v>0.86154742278538632</c:v>
                </c:pt>
              </c:numCache>
            </c:numRef>
          </c:val>
          <c:extLst>
            <c:ext xmlns:c16="http://schemas.microsoft.com/office/drawing/2014/chart" uri="{C3380CC4-5D6E-409C-BE32-E72D297353CC}">
              <c16:uniqueId val="{00000002-AC81-4F5E-8ED5-ABADC2DB075C}"/>
            </c:ext>
          </c:extLst>
        </c:ser>
        <c:dLbls>
          <c:showLegendKey val="0"/>
          <c:showVal val="0"/>
          <c:showCatName val="0"/>
          <c:showSerName val="0"/>
          <c:showPercent val="0"/>
          <c:showBubbleSize val="0"/>
        </c:dLbls>
        <c:gapWidth val="219"/>
        <c:overlap val="-27"/>
        <c:axId val="318175295"/>
        <c:axId val="316393935"/>
      </c:barChart>
      <c:catAx>
        <c:axId val="3181752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16393935"/>
        <c:crosses val="autoZero"/>
        <c:auto val="1"/>
        <c:lblAlgn val="ctr"/>
        <c:lblOffset val="100"/>
        <c:noMultiLvlLbl val="0"/>
      </c:catAx>
      <c:valAx>
        <c:axId val="3163939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Relative transcript abundance</a:t>
                </a:r>
              </a:p>
            </c:rich>
          </c:tx>
          <c:layout>
            <c:manualLayout>
              <c:xMode val="edge"/>
              <c:yMode val="edge"/>
              <c:x val="8.9389120477587364E-3"/>
              <c:y val="8.6733717108890801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18175295"/>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2162</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3</cp:revision>
  <dcterms:created xsi:type="dcterms:W3CDTF">2020-03-20T15:36:00Z</dcterms:created>
  <dcterms:modified xsi:type="dcterms:W3CDTF">2020-03-20T15:37:00Z</dcterms:modified>
</cp:coreProperties>
</file>